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69" w:rsidRPr="00276069" w:rsidRDefault="00276069" w:rsidP="00276069">
      <w:pPr>
        <w:spacing w:before="100" w:beforeAutospacing="1" w:after="100" w:afterAutospacing="1" w:line="304" w:lineRule="atLeast"/>
        <w:outlineLvl w:val="1"/>
        <w:rPr>
          <w:rFonts w:ascii="Georgia" w:eastAsia="Times New Roman" w:hAnsi="Georgia" w:cs="Arial"/>
          <w:color w:val="333333"/>
          <w:spacing w:val="-15"/>
          <w:kern w:val="36"/>
          <w:sz w:val="42"/>
          <w:szCs w:val="42"/>
          <w:lang w:val="en"/>
        </w:rPr>
      </w:pPr>
      <w:bookmarkStart w:id="0" w:name="_GoBack"/>
      <w:bookmarkEnd w:id="0"/>
      <w:r w:rsidRPr="00276069">
        <w:rPr>
          <w:rFonts w:ascii="Georgia" w:eastAsia="Times New Roman" w:hAnsi="Georgia" w:cs="Arial"/>
          <w:color w:val="333333"/>
          <w:spacing w:val="-15"/>
          <w:kern w:val="36"/>
          <w:sz w:val="42"/>
          <w:szCs w:val="42"/>
          <w:lang w:val="en"/>
        </w:rPr>
        <w:t>The Right to National Bankruptcy</w:t>
      </w:r>
    </w:p>
    <w:p w:rsidR="00276069" w:rsidRPr="00276069" w:rsidRDefault="00276069" w:rsidP="00276069">
      <w:pPr>
        <w:spacing w:before="150" w:after="300" w:line="360" w:lineRule="atLeast"/>
        <w:rPr>
          <w:rFonts w:ascii="Trebuchet MS" w:eastAsia="Times New Roman" w:hAnsi="Trebuchet MS" w:cs="Arial"/>
          <w:color w:val="7E7E7E"/>
          <w:sz w:val="18"/>
          <w:szCs w:val="18"/>
          <w:lang w:val="en"/>
        </w:rPr>
      </w:pPr>
      <w:proofErr w:type="spellStart"/>
      <w:r w:rsidRPr="00276069">
        <w:rPr>
          <w:rFonts w:ascii="Trebuchet MS" w:eastAsia="Times New Roman" w:hAnsi="Trebuchet MS" w:cs="Arial"/>
          <w:color w:val="333333"/>
          <w:sz w:val="18"/>
          <w:szCs w:val="18"/>
          <w:lang w:val="en"/>
        </w:rPr>
        <w:t>Mises</w:t>
      </w:r>
      <w:proofErr w:type="spellEnd"/>
      <w:r w:rsidRPr="00276069">
        <w:rPr>
          <w:rFonts w:ascii="Trebuchet MS" w:eastAsia="Times New Roman" w:hAnsi="Trebuchet MS" w:cs="Arial"/>
          <w:color w:val="333333"/>
          <w:sz w:val="18"/>
          <w:szCs w:val="18"/>
          <w:lang w:val="en"/>
        </w:rPr>
        <w:t xml:space="preserve"> </w:t>
      </w:r>
      <w:proofErr w:type="spellStart"/>
      <w:r w:rsidRPr="00276069">
        <w:rPr>
          <w:rFonts w:ascii="Trebuchet MS" w:eastAsia="Times New Roman" w:hAnsi="Trebuchet MS" w:cs="Arial"/>
          <w:color w:val="333333"/>
          <w:sz w:val="18"/>
          <w:szCs w:val="18"/>
          <w:lang w:val="en"/>
        </w:rPr>
        <w:t>Daily</w:t>
      </w:r>
      <w:proofErr w:type="gramStart"/>
      <w:r w:rsidRPr="00276069">
        <w:rPr>
          <w:rFonts w:ascii="Trebuchet MS" w:eastAsia="Times New Roman" w:hAnsi="Trebuchet MS" w:cs="Arial"/>
          <w:color w:val="333333"/>
          <w:sz w:val="18"/>
          <w:szCs w:val="18"/>
          <w:lang w:val="en"/>
        </w:rPr>
        <w:t>:</w:t>
      </w:r>
      <w:r w:rsidRPr="00276069">
        <w:rPr>
          <w:rFonts w:ascii="Trebuchet MS" w:eastAsia="Times New Roman" w:hAnsi="Trebuchet MS" w:cs="Arial"/>
          <w:color w:val="7E7E7E"/>
          <w:sz w:val="18"/>
          <w:szCs w:val="18"/>
          <w:lang w:val="en"/>
        </w:rPr>
        <w:t>Wednesday</w:t>
      </w:r>
      <w:proofErr w:type="spellEnd"/>
      <w:proofErr w:type="gramEnd"/>
      <w:r w:rsidRPr="00276069">
        <w:rPr>
          <w:rFonts w:ascii="Trebuchet MS" w:eastAsia="Times New Roman" w:hAnsi="Trebuchet MS" w:cs="Arial"/>
          <w:color w:val="7E7E7E"/>
          <w:sz w:val="18"/>
          <w:szCs w:val="18"/>
          <w:lang w:val="en"/>
        </w:rPr>
        <w:t xml:space="preserve">, July 18, 2012 by </w:t>
      </w:r>
      <w:hyperlink r:id="rId5" w:history="1">
        <w:r w:rsidRPr="00276069">
          <w:rPr>
            <w:rFonts w:ascii="Trebuchet MS" w:eastAsia="Times New Roman" w:hAnsi="Trebuchet MS" w:cs="Arial"/>
            <w:color w:val="1765BC"/>
            <w:sz w:val="18"/>
            <w:szCs w:val="18"/>
            <w:lang w:val="en"/>
          </w:rPr>
          <w:t>Andrew Foy, MD</w:t>
        </w:r>
      </w:hyperlink>
    </w:p>
    <w:p w:rsidR="00276069" w:rsidRPr="00276069" w:rsidRDefault="00276069" w:rsidP="00276069">
      <w:pPr>
        <w:spacing w:before="300" w:after="300" w:line="360" w:lineRule="atLeast"/>
        <w:rPr>
          <w:rFonts w:ascii="Trebuchet MS" w:eastAsia="Times New Roman" w:hAnsi="Trebuchet MS" w:cs="Arial"/>
          <w:color w:val="333333"/>
          <w:sz w:val="21"/>
          <w:szCs w:val="21"/>
          <w:lang w:val="en"/>
        </w:rPr>
      </w:pPr>
      <w:r w:rsidRPr="00276069">
        <w:rPr>
          <w:rFonts w:ascii="Trebuchet MS" w:eastAsia="Times New Roman" w:hAnsi="Trebuchet MS" w:cs="Arial"/>
          <w:color w:val="333333"/>
          <w:sz w:val="21"/>
          <w:szCs w:val="21"/>
          <w:lang w:val="en"/>
        </w:rPr>
        <w:t>People like me who believe the government should play a less active role in subsidizing healthcare costs are often asked the question "Do you believe healthcare is a basic human right?"</w:t>
      </w:r>
    </w:p>
    <w:p w:rsidR="00276069" w:rsidRPr="00276069" w:rsidRDefault="00276069" w:rsidP="00276069">
      <w:pPr>
        <w:spacing w:before="300" w:after="300" w:line="360" w:lineRule="atLeast"/>
        <w:rPr>
          <w:rFonts w:ascii="Trebuchet MS" w:eastAsia="Times New Roman" w:hAnsi="Trebuchet MS" w:cs="Arial"/>
          <w:color w:val="333333"/>
          <w:sz w:val="21"/>
          <w:szCs w:val="21"/>
          <w:lang w:val="en"/>
        </w:rPr>
      </w:pPr>
      <w:r w:rsidRPr="00276069">
        <w:rPr>
          <w:rFonts w:ascii="Trebuchet MS" w:eastAsia="Times New Roman" w:hAnsi="Trebuchet MS" w:cs="Arial"/>
          <w:color w:val="333333"/>
          <w:sz w:val="21"/>
          <w:szCs w:val="21"/>
          <w:lang w:val="en"/>
        </w:rPr>
        <w:t xml:space="preserve">While this is an important philosophical question to ponder, it often lends itself to unexamined answers and political demagoguery. The imprecise answer "yes" to this question by most governments around the world (including the United States) has served mainly to accelerate healthcare-cost growth and benefit the medical-industrial complex at the expense of the public. To appreciate this point, one must consider the reality of what having a right to healthcare, </w:t>
      </w:r>
      <w:r w:rsidRPr="00276069">
        <w:rPr>
          <w:rFonts w:ascii="Trebuchet MS" w:eastAsia="Times New Roman" w:hAnsi="Trebuchet MS" w:cs="Arial"/>
          <w:i/>
          <w:iCs/>
          <w:color w:val="333333"/>
          <w:sz w:val="21"/>
          <w:szCs w:val="21"/>
          <w:lang w:val="en"/>
        </w:rPr>
        <w:t>as it is presently understood</w:t>
      </w:r>
      <w:r w:rsidRPr="00276069">
        <w:rPr>
          <w:rFonts w:ascii="Trebuchet MS" w:eastAsia="Times New Roman" w:hAnsi="Trebuchet MS" w:cs="Arial"/>
          <w:color w:val="333333"/>
          <w:sz w:val="21"/>
          <w:szCs w:val="21"/>
          <w:lang w:val="en"/>
        </w:rPr>
        <w:t>, actually means, and then consider who wins.</w:t>
      </w:r>
    </w:p>
    <w:p w:rsidR="00276069" w:rsidRPr="00276069" w:rsidRDefault="00276069" w:rsidP="00276069">
      <w:pPr>
        <w:spacing w:before="300" w:after="300" w:line="360" w:lineRule="atLeast"/>
        <w:rPr>
          <w:rFonts w:ascii="Trebuchet MS" w:eastAsia="Times New Roman" w:hAnsi="Trebuchet MS" w:cs="Arial"/>
          <w:color w:val="333333"/>
          <w:sz w:val="21"/>
          <w:szCs w:val="21"/>
          <w:lang w:val="en"/>
        </w:rPr>
      </w:pPr>
      <w:r w:rsidRPr="00276069">
        <w:rPr>
          <w:rFonts w:ascii="Trebuchet MS" w:eastAsia="Times New Roman" w:hAnsi="Trebuchet MS" w:cs="Arial"/>
          <w:color w:val="333333"/>
          <w:sz w:val="21"/>
          <w:szCs w:val="21"/>
          <w:lang w:val="en"/>
        </w:rPr>
        <w:t>Does it mean that someone in a motor-vehicle accident has a right to emergency surgery that could save his life?</w:t>
      </w:r>
    </w:p>
    <w:p w:rsidR="00276069" w:rsidRPr="00276069" w:rsidRDefault="00276069" w:rsidP="00276069">
      <w:pPr>
        <w:spacing w:before="300" w:after="300" w:line="360" w:lineRule="atLeast"/>
        <w:rPr>
          <w:rFonts w:ascii="Trebuchet MS" w:eastAsia="Times New Roman" w:hAnsi="Trebuchet MS" w:cs="Arial"/>
          <w:color w:val="333333"/>
          <w:sz w:val="21"/>
          <w:szCs w:val="21"/>
          <w:lang w:val="en"/>
        </w:rPr>
      </w:pPr>
      <w:r w:rsidRPr="00276069">
        <w:rPr>
          <w:rFonts w:ascii="Trebuchet MS" w:eastAsia="Times New Roman" w:hAnsi="Trebuchet MS" w:cs="Arial"/>
          <w:color w:val="333333"/>
          <w:sz w:val="21"/>
          <w:szCs w:val="21"/>
          <w:lang w:val="en"/>
        </w:rPr>
        <w:t>Does it mean that a teenager with leukemia has a right to potentially life-saving treatment?</w:t>
      </w:r>
    </w:p>
    <w:p w:rsidR="00276069" w:rsidRPr="00276069" w:rsidRDefault="00276069" w:rsidP="00276069">
      <w:pPr>
        <w:spacing w:before="300" w:after="300" w:line="360" w:lineRule="atLeast"/>
        <w:rPr>
          <w:rFonts w:ascii="Trebuchet MS" w:eastAsia="Times New Roman" w:hAnsi="Trebuchet MS" w:cs="Arial"/>
          <w:color w:val="333333"/>
          <w:sz w:val="21"/>
          <w:szCs w:val="21"/>
          <w:lang w:val="en"/>
        </w:rPr>
      </w:pPr>
      <w:r w:rsidRPr="00276069">
        <w:rPr>
          <w:rFonts w:ascii="Trebuchet MS" w:eastAsia="Times New Roman" w:hAnsi="Trebuchet MS" w:cs="Arial"/>
          <w:color w:val="333333"/>
          <w:sz w:val="21"/>
          <w:szCs w:val="21"/>
          <w:lang w:val="en"/>
        </w:rPr>
        <w:t>Does it mean that a 60-year-old experiencing a major heart attack has a right to emergent therapy?</w:t>
      </w:r>
    </w:p>
    <w:p w:rsidR="00276069" w:rsidRPr="00276069" w:rsidRDefault="00276069" w:rsidP="00276069">
      <w:pPr>
        <w:spacing w:before="300" w:after="300" w:line="360" w:lineRule="atLeast"/>
        <w:rPr>
          <w:rFonts w:ascii="Trebuchet MS" w:eastAsia="Times New Roman" w:hAnsi="Trebuchet MS" w:cs="Arial"/>
          <w:color w:val="333333"/>
          <w:sz w:val="21"/>
          <w:szCs w:val="21"/>
          <w:lang w:val="en"/>
        </w:rPr>
      </w:pPr>
      <w:r w:rsidRPr="00276069">
        <w:rPr>
          <w:rFonts w:ascii="Trebuchet MS" w:eastAsia="Times New Roman" w:hAnsi="Trebuchet MS" w:cs="Arial"/>
          <w:color w:val="333333"/>
          <w:sz w:val="21"/>
          <w:szCs w:val="21"/>
          <w:lang w:val="en"/>
        </w:rPr>
        <w:t>Does it mean that this same 60-year-old, after the heart attack is over, has a right to a cardiac rehabilitation program, routine office visits with a cardiologist, routine lab work, routine studies to monitor cardiac function, and life-long medications to control blood pressure, cholesterol, and diabetes knowing that doing these things will not eliminate the risk of another event but rather reduce it by a few percentage points a year?</w:t>
      </w:r>
    </w:p>
    <w:p w:rsidR="00276069" w:rsidRPr="00276069" w:rsidRDefault="00276069" w:rsidP="00276069">
      <w:pPr>
        <w:spacing w:before="300" w:after="300" w:line="360" w:lineRule="atLeast"/>
        <w:rPr>
          <w:rFonts w:ascii="Trebuchet MS" w:eastAsia="Times New Roman" w:hAnsi="Trebuchet MS" w:cs="Arial"/>
          <w:color w:val="333333"/>
          <w:sz w:val="21"/>
          <w:szCs w:val="21"/>
          <w:lang w:val="en"/>
        </w:rPr>
      </w:pPr>
      <w:r w:rsidRPr="00276069">
        <w:rPr>
          <w:rFonts w:ascii="Trebuchet MS" w:eastAsia="Times New Roman" w:hAnsi="Trebuchet MS" w:cs="Arial"/>
          <w:color w:val="333333"/>
          <w:sz w:val="21"/>
          <w:szCs w:val="21"/>
          <w:lang w:val="en"/>
        </w:rPr>
        <w:t xml:space="preserve">Does it mean that this same person, 12 years down the road, has a right to an implantable </w:t>
      </w:r>
      <w:proofErr w:type="spellStart"/>
      <w:r w:rsidRPr="00276069">
        <w:rPr>
          <w:rFonts w:ascii="Trebuchet MS" w:eastAsia="Times New Roman" w:hAnsi="Trebuchet MS" w:cs="Arial"/>
          <w:color w:val="333333"/>
          <w:sz w:val="21"/>
          <w:szCs w:val="21"/>
          <w:lang w:val="en"/>
        </w:rPr>
        <w:t>cardioverter</w:t>
      </w:r>
      <w:proofErr w:type="spellEnd"/>
      <w:r w:rsidRPr="00276069">
        <w:rPr>
          <w:rFonts w:ascii="Trebuchet MS" w:eastAsia="Times New Roman" w:hAnsi="Trebuchet MS" w:cs="Arial"/>
          <w:color w:val="333333"/>
          <w:sz w:val="21"/>
          <w:szCs w:val="21"/>
          <w:lang w:val="en"/>
        </w:rPr>
        <w:t xml:space="preserve"> defibrillator, cardiac resynchronization therapy, and a left ventricular assist device for destination therapy when he eventually develops end-stage heart failure?</w:t>
      </w:r>
    </w:p>
    <w:p w:rsidR="00276069" w:rsidRPr="00276069" w:rsidRDefault="00276069" w:rsidP="00276069">
      <w:pPr>
        <w:spacing w:before="300" w:after="300" w:line="360" w:lineRule="atLeast"/>
        <w:rPr>
          <w:rFonts w:ascii="Trebuchet MS" w:eastAsia="Times New Roman" w:hAnsi="Trebuchet MS" w:cs="Arial"/>
          <w:color w:val="333333"/>
          <w:sz w:val="21"/>
          <w:szCs w:val="21"/>
          <w:lang w:val="en"/>
        </w:rPr>
      </w:pPr>
      <w:r w:rsidRPr="00276069">
        <w:rPr>
          <w:rFonts w:ascii="Trebuchet MS" w:eastAsia="Times New Roman" w:hAnsi="Trebuchet MS" w:cs="Arial"/>
          <w:color w:val="333333"/>
          <w:sz w:val="21"/>
          <w:szCs w:val="21"/>
          <w:lang w:val="en"/>
        </w:rPr>
        <w:t xml:space="preserve">The above examples highlight the difference between health emergencies, which would qualify as insurable events, and other scenarios that fall under the category of health maintenance related to the progression of chronic illness, which would not be properly insurable under any rational insurance scheme. As it currently stands, </w:t>
      </w:r>
      <w:r w:rsidRPr="00276069">
        <w:rPr>
          <w:rFonts w:ascii="Trebuchet MS" w:eastAsia="Times New Roman" w:hAnsi="Trebuchet MS" w:cs="Arial"/>
          <w:i/>
          <w:iCs/>
          <w:color w:val="333333"/>
          <w:sz w:val="21"/>
          <w:szCs w:val="21"/>
          <w:lang w:val="en"/>
        </w:rPr>
        <w:t>all</w:t>
      </w:r>
      <w:r w:rsidRPr="00276069">
        <w:rPr>
          <w:rFonts w:ascii="Trebuchet MS" w:eastAsia="Times New Roman" w:hAnsi="Trebuchet MS" w:cs="Arial"/>
          <w:color w:val="333333"/>
          <w:sz w:val="21"/>
          <w:szCs w:val="21"/>
          <w:lang w:val="en"/>
        </w:rPr>
        <w:t xml:space="preserve"> of the above cases are covered under most private insurance (now a requirement with the new healthcare law) and all public insurance plans. </w:t>
      </w:r>
      <w:r w:rsidRPr="00276069">
        <w:rPr>
          <w:rFonts w:ascii="Trebuchet MS" w:eastAsia="Times New Roman" w:hAnsi="Trebuchet MS" w:cs="Arial"/>
          <w:i/>
          <w:iCs/>
          <w:color w:val="333333"/>
          <w:sz w:val="21"/>
          <w:szCs w:val="21"/>
          <w:lang w:val="en"/>
        </w:rPr>
        <w:t xml:space="preserve">The </w:t>
      </w:r>
      <w:r w:rsidRPr="00276069">
        <w:rPr>
          <w:rFonts w:ascii="Trebuchet MS" w:eastAsia="Times New Roman" w:hAnsi="Trebuchet MS" w:cs="Arial"/>
          <w:i/>
          <w:iCs/>
          <w:color w:val="333333"/>
          <w:sz w:val="21"/>
          <w:szCs w:val="21"/>
          <w:lang w:val="en"/>
        </w:rPr>
        <w:lastRenderedPageBreak/>
        <w:t>right to healthcare has become synonymous with the right to medical insurance that covers all health related expenses</w:t>
      </w:r>
      <w:r w:rsidRPr="00276069">
        <w:rPr>
          <w:rFonts w:ascii="Trebuchet MS" w:eastAsia="Times New Roman" w:hAnsi="Trebuchet MS" w:cs="Arial"/>
          <w:color w:val="333333"/>
          <w:sz w:val="21"/>
          <w:szCs w:val="21"/>
          <w:lang w:val="en"/>
        </w:rPr>
        <w:t xml:space="preserve"> — that's a big economic problem.</w:t>
      </w:r>
    </w:p>
    <w:p w:rsidR="00276069" w:rsidRPr="00276069" w:rsidRDefault="00276069" w:rsidP="00276069">
      <w:pPr>
        <w:spacing w:before="300" w:after="300" w:line="360" w:lineRule="atLeast"/>
        <w:rPr>
          <w:rFonts w:ascii="Trebuchet MS" w:eastAsia="Times New Roman" w:hAnsi="Trebuchet MS" w:cs="Arial"/>
          <w:color w:val="333333"/>
          <w:sz w:val="21"/>
          <w:szCs w:val="21"/>
          <w:lang w:val="en"/>
        </w:rPr>
      </w:pPr>
      <w:r w:rsidRPr="00276069">
        <w:rPr>
          <w:rFonts w:ascii="Trebuchet MS" w:eastAsia="Times New Roman" w:hAnsi="Trebuchet MS" w:cs="Arial"/>
          <w:color w:val="333333"/>
          <w:sz w:val="21"/>
          <w:szCs w:val="21"/>
          <w:lang w:val="en"/>
        </w:rPr>
        <w:t xml:space="preserve">Friedrich Hayek </w:t>
      </w:r>
      <w:hyperlink r:id="rId6" w:anchor="v=onepage&amp;q&amp;f=false" w:history="1">
        <w:r w:rsidRPr="00276069">
          <w:rPr>
            <w:rFonts w:ascii="Trebuchet MS" w:eastAsia="Times New Roman" w:hAnsi="Trebuchet MS" w:cs="Arial"/>
            <w:color w:val="1765BC"/>
            <w:sz w:val="21"/>
            <w:szCs w:val="21"/>
            <w:lang w:val="en"/>
          </w:rPr>
          <w:t>wrote</w:t>
        </w:r>
      </w:hyperlink>
      <w:r w:rsidRPr="00276069">
        <w:rPr>
          <w:rFonts w:ascii="Trebuchet MS" w:eastAsia="Times New Roman" w:hAnsi="Trebuchet MS" w:cs="Arial"/>
          <w:color w:val="333333"/>
          <w:sz w:val="21"/>
          <w:szCs w:val="21"/>
          <w:lang w:val="en"/>
        </w:rPr>
        <w:t>,</w:t>
      </w:r>
    </w:p>
    <w:p w:rsidR="00276069" w:rsidRPr="00276069" w:rsidRDefault="00276069" w:rsidP="00276069">
      <w:pPr>
        <w:spacing w:line="360" w:lineRule="atLeast"/>
        <w:rPr>
          <w:rFonts w:ascii="Trebuchet MS" w:eastAsia="Times New Roman" w:hAnsi="Trebuchet MS" w:cs="Arial"/>
          <w:color w:val="333333"/>
          <w:sz w:val="21"/>
          <w:szCs w:val="21"/>
          <w:lang w:val="en"/>
        </w:rPr>
      </w:pPr>
      <w:r w:rsidRPr="00276069">
        <w:rPr>
          <w:rFonts w:ascii="Trebuchet MS" w:eastAsia="Times New Roman" w:hAnsi="Trebuchet MS" w:cs="Arial"/>
          <w:color w:val="333333"/>
          <w:sz w:val="21"/>
          <w:szCs w:val="21"/>
          <w:lang w:val="en"/>
        </w:rPr>
        <w:t>There is no objective standard for judging how much care and effort are required in a particular case; also, as medicine advances, it becomes more and more clear that there is no limit to the amount that might profitably be spent in order to do all that is objectively possible. Moreover, it is also not true that, in our individual valuation, all that might yet be done to secure health and life has an absolute priority over other needs. As in all other decisions in which we have to deal not with certainties but with probabilities and chances, we constantly take risks and decide on the basis of economic considerations whether a particular precaution is worthwhile, i.e., by balancing the risk against other needs.</w:t>
      </w:r>
    </w:p>
    <w:p w:rsidR="00276069" w:rsidRPr="00276069" w:rsidRDefault="00276069" w:rsidP="00276069">
      <w:pPr>
        <w:spacing w:before="300" w:after="300" w:line="360" w:lineRule="atLeast"/>
        <w:rPr>
          <w:rFonts w:ascii="Trebuchet MS" w:eastAsia="Times New Roman" w:hAnsi="Trebuchet MS" w:cs="Arial"/>
          <w:color w:val="333333"/>
          <w:sz w:val="21"/>
          <w:szCs w:val="21"/>
          <w:lang w:val="en"/>
        </w:rPr>
      </w:pPr>
      <w:r w:rsidRPr="00276069">
        <w:rPr>
          <w:rFonts w:ascii="Trebuchet MS" w:eastAsia="Times New Roman" w:hAnsi="Trebuchet MS" w:cs="Arial"/>
          <w:color w:val="333333"/>
          <w:sz w:val="21"/>
          <w:szCs w:val="21"/>
          <w:lang w:val="en"/>
        </w:rPr>
        <w:t xml:space="preserve">Many who push the idea that healthcare is </w:t>
      </w:r>
      <w:proofErr w:type="gramStart"/>
      <w:r w:rsidRPr="00276069">
        <w:rPr>
          <w:rFonts w:ascii="Trebuchet MS" w:eastAsia="Times New Roman" w:hAnsi="Trebuchet MS" w:cs="Arial"/>
          <w:color w:val="333333"/>
          <w:sz w:val="21"/>
          <w:szCs w:val="21"/>
          <w:lang w:val="en"/>
        </w:rPr>
        <w:t>a right strive</w:t>
      </w:r>
      <w:proofErr w:type="gramEnd"/>
      <w:r w:rsidRPr="00276069">
        <w:rPr>
          <w:rFonts w:ascii="Trebuchet MS" w:eastAsia="Times New Roman" w:hAnsi="Trebuchet MS" w:cs="Arial"/>
          <w:color w:val="333333"/>
          <w:sz w:val="21"/>
          <w:szCs w:val="21"/>
          <w:lang w:val="en"/>
        </w:rPr>
        <w:t xml:space="preserve"> to eliminate all personal economic considerations that ultimately affect how an individual would balance health risks against other needs. They believe one should not have to balance such things. They strive to eliminate the distinction between health emergencies, which are insurable events, and health maintenance, which cannot be properly insured against. They incorrectly believe that all healthcare decisions are a matter of life and death. This is a tremendous boon to the medical-industrial complex.</w:t>
      </w:r>
    </w:p>
    <w:p w:rsidR="00276069" w:rsidRPr="00276069" w:rsidRDefault="00276069" w:rsidP="00276069">
      <w:pPr>
        <w:spacing w:before="300" w:after="300" w:line="360" w:lineRule="atLeast"/>
        <w:rPr>
          <w:rFonts w:ascii="Trebuchet MS" w:eastAsia="Times New Roman" w:hAnsi="Trebuchet MS" w:cs="Arial"/>
          <w:color w:val="333333"/>
          <w:sz w:val="21"/>
          <w:szCs w:val="21"/>
          <w:lang w:val="en"/>
        </w:rPr>
      </w:pPr>
      <w:r w:rsidRPr="00276069">
        <w:rPr>
          <w:rFonts w:ascii="Trebuchet MS" w:eastAsia="Times New Roman" w:hAnsi="Trebuchet MS" w:cs="Arial"/>
          <w:color w:val="333333"/>
          <w:sz w:val="21"/>
          <w:szCs w:val="21"/>
          <w:lang w:val="en"/>
        </w:rPr>
        <w:t xml:space="preserve">Those who strive to eliminate the economization of healthcare decisions believe they are saving people. They are not. Regardless of their intentions, they are simply accelerating healthcare-cost growth. The equation that </w:t>
      </w:r>
      <w:r w:rsidRPr="00276069">
        <w:rPr>
          <w:rFonts w:ascii="Trebuchet MS" w:eastAsia="Times New Roman" w:hAnsi="Trebuchet MS" w:cs="Arial"/>
          <w:i/>
          <w:iCs/>
          <w:color w:val="333333"/>
          <w:sz w:val="21"/>
          <w:szCs w:val="21"/>
          <w:lang w:val="en"/>
        </w:rPr>
        <w:t>medical care equals health</w:t>
      </w:r>
      <w:r w:rsidRPr="00276069">
        <w:rPr>
          <w:rFonts w:ascii="Trebuchet MS" w:eastAsia="Times New Roman" w:hAnsi="Trebuchet MS" w:cs="Arial"/>
          <w:color w:val="333333"/>
          <w:sz w:val="21"/>
          <w:szCs w:val="21"/>
          <w:lang w:val="en"/>
        </w:rPr>
        <w:t xml:space="preserve"> is mostly incorrect.</w:t>
      </w:r>
    </w:p>
    <w:p w:rsidR="00276069" w:rsidRPr="00276069" w:rsidRDefault="00276069" w:rsidP="00276069">
      <w:pPr>
        <w:spacing w:before="300" w:after="300" w:line="360" w:lineRule="atLeast"/>
        <w:rPr>
          <w:rFonts w:ascii="Trebuchet MS" w:eastAsia="Times New Roman" w:hAnsi="Trebuchet MS" w:cs="Arial"/>
          <w:color w:val="333333"/>
          <w:sz w:val="21"/>
          <w:szCs w:val="21"/>
          <w:lang w:val="en"/>
        </w:rPr>
      </w:pPr>
      <w:r w:rsidRPr="00276069">
        <w:rPr>
          <w:rFonts w:ascii="Trebuchet MS" w:eastAsia="Times New Roman" w:hAnsi="Trebuchet MS" w:cs="Arial"/>
          <w:color w:val="333333"/>
          <w:sz w:val="21"/>
          <w:szCs w:val="21"/>
          <w:lang w:val="en"/>
        </w:rPr>
        <w:t>Medical care actually plays a limited role in determining our state of health. Many studies support this. The most important was the RAND Health Insurance Experiment, a large 15-year study that examined how different levels of cost sharing, ranging from none to 95 percent, affected both the use of medical care and health outcomes.</w:t>
      </w:r>
      <w:bookmarkStart w:id="1" w:name="ref1"/>
      <w:r w:rsidRPr="00276069">
        <w:rPr>
          <w:rFonts w:ascii="Trebuchet MS" w:eastAsia="Times New Roman" w:hAnsi="Trebuchet MS" w:cs="Arial"/>
          <w:color w:val="333333"/>
          <w:sz w:val="21"/>
          <w:szCs w:val="21"/>
          <w:lang w:val="en"/>
        </w:rPr>
        <w:fldChar w:fldCharType="begin"/>
      </w:r>
      <w:r w:rsidRPr="00276069">
        <w:rPr>
          <w:rFonts w:ascii="Trebuchet MS" w:eastAsia="Times New Roman" w:hAnsi="Trebuchet MS" w:cs="Arial"/>
          <w:color w:val="333333"/>
          <w:sz w:val="21"/>
          <w:szCs w:val="21"/>
          <w:lang w:val="en"/>
        </w:rPr>
        <w:instrText xml:space="preserve"> HYPERLINK "http://mises.org/daily/6110/The-Right-to-National-Bankruptcy" \l "note1" </w:instrText>
      </w:r>
      <w:r w:rsidRPr="00276069">
        <w:rPr>
          <w:rFonts w:ascii="Trebuchet MS" w:eastAsia="Times New Roman" w:hAnsi="Trebuchet MS" w:cs="Arial"/>
          <w:color w:val="333333"/>
          <w:sz w:val="21"/>
          <w:szCs w:val="21"/>
          <w:lang w:val="en"/>
        </w:rPr>
        <w:fldChar w:fldCharType="separate"/>
      </w:r>
      <w:r w:rsidRPr="00276069">
        <w:rPr>
          <w:rFonts w:ascii="Trebuchet MS" w:eastAsia="Times New Roman" w:hAnsi="Trebuchet MS" w:cs="Arial"/>
          <w:color w:val="1765BC"/>
          <w:sz w:val="15"/>
          <w:szCs w:val="15"/>
          <w:lang w:val="en"/>
        </w:rPr>
        <w:t>[1]</w:t>
      </w:r>
      <w:r w:rsidRPr="00276069">
        <w:rPr>
          <w:rFonts w:ascii="Trebuchet MS" w:eastAsia="Times New Roman" w:hAnsi="Trebuchet MS" w:cs="Arial"/>
          <w:color w:val="333333"/>
          <w:sz w:val="21"/>
          <w:szCs w:val="21"/>
          <w:lang w:val="en"/>
        </w:rPr>
        <w:fldChar w:fldCharType="end"/>
      </w:r>
      <w:bookmarkEnd w:id="1"/>
      <w:r w:rsidRPr="00276069">
        <w:rPr>
          <w:rFonts w:ascii="Trebuchet MS" w:eastAsia="Times New Roman" w:hAnsi="Trebuchet MS" w:cs="Arial"/>
          <w:color w:val="333333"/>
          <w:sz w:val="21"/>
          <w:szCs w:val="21"/>
          <w:lang w:val="en"/>
        </w:rPr>
        <w:t xml:space="preserve"> The results showed that cost sharing consistently reduced spending because patients actually sought less treatment. Those who had free care spent an average of 50 percent more per person per year than those with the highest level of cost sharing. However, </w:t>
      </w:r>
      <w:r w:rsidRPr="00276069">
        <w:rPr>
          <w:rFonts w:ascii="Trebuchet MS" w:eastAsia="Times New Roman" w:hAnsi="Trebuchet MS" w:cs="Arial"/>
          <w:i/>
          <w:iCs/>
          <w:color w:val="333333"/>
          <w:sz w:val="21"/>
          <w:szCs w:val="21"/>
          <w:lang w:val="en"/>
        </w:rPr>
        <w:t>despite differences in treatment, cost sharing had no adverse health effects.</w:t>
      </w:r>
      <w:r w:rsidRPr="00276069">
        <w:rPr>
          <w:rFonts w:ascii="Trebuchet MS" w:eastAsia="Times New Roman" w:hAnsi="Trebuchet MS" w:cs="Arial"/>
          <w:color w:val="333333"/>
          <w:sz w:val="21"/>
          <w:szCs w:val="21"/>
          <w:lang w:val="en"/>
        </w:rPr>
        <w:t xml:space="preserve"> There were no significant differences between those with free care and those with cost sharing on any major health outcomes (figure 1).</w:t>
      </w:r>
    </w:p>
    <w:p w:rsidR="00276069" w:rsidRPr="00276069" w:rsidRDefault="00276069" w:rsidP="00276069">
      <w:pPr>
        <w:spacing w:after="0" w:line="240" w:lineRule="auto"/>
        <w:jc w:val="center"/>
        <w:rPr>
          <w:rFonts w:ascii="Trebuchet MS" w:eastAsia="Times New Roman" w:hAnsi="Trebuchet MS" w:cs="Arial"/>
          <w:b/>
          <w:bCs/>
          <w:color w:val="333333"/>
          <w:spacing w:val="-12"/>
          <w:sz w:val="24"/>
          <w:szCs w:val="24"/>
          <w:lang w:val="en"/>
        </w:rPr>
      </w:pPr>
      <w:r w:rsidRPr="00276069">
        <w:rPr>
          <w:rFonts w:ascii="Trebuchet MS" w:eastAsia="Times New Roman" w:hAnsi="Trebuchet MS" w:cs="Arial"/>
          <w:b/>
          <w:bCs/>
          <w:color w:val="333333"/>
          <w:spacing w:val="-12"/>
          <w:sz w:val="24"/>
          <w:szCs w:val="24"/>
          <w:lang w:val="en"/>
        </w:rPr>
        <w:t>Figure 1</w:t>
      </w:r>
      <w:bookmarkStart w:id="2" w:name="ref2"/>
      <w:r w:rsidRPr="00276069">
        <w:rPr>
          <w:rFonts w:ascii="Trebuchet MS" w:eastAsia="Times New Roman" w:hAnsi="Trebuchet MS" w:cs="Arial"/>
          <w:b/>
          <w:bCs/>
          <w:color w:val="333333"/>
          <w:spacing w:val="-12"/>
          <w:sz w:val="24"/>
          <w:szCs w:val="24"/>
          <w:lang w:val="en"/>
        </w:rPr>
        <w:fldChar w:fldCharType="begin"/>
      </w:r>
      <w:r w:rsidRPr="00276069">
        <w:rPr>
          <w:rFonts w:ascii="Trebuchet MS" w:eastAsia="Times New Roman" w:hAnsi="Trebuchet MS" w:cs="Arial"/>
          <w:b/>
          <w:bCs/>
          <w:color w:val="333333"/>
          <w:spacing w:val="-12"/>
          <w:sz w:val="24"/>
          <w:szCs w:val="24"/>
          <w:lang w:val="en"/>
        </w:rPr>
        <w:instrText xml:space="preserve"> HYPERLINK "http://mises.org/daily/6110/The-Right-to-National-Bankruptcy" \l "note2" </w:instrText>
      </w:r>
      <w:r w:rsidRPr="00276069">
        <w:rPr>
          <w:rFonts w:ascii="Trebuchet MS" w:eastAsia="Times New Roman" w:hAnsi="Trebuchet MS" w:cs="Arial"/>
          <w:b/>
          <w:bCs/>
          <w:color w:val="333333"/>
          <w:spacing w:val="-12"/>
          <w:sz w:val="24"/>
          <w:szCs w:val="24"/>
          <w:lang w:val="en"/>
        </w:rPr>
        <w:fldChar w:fldCharType="separate"/>
      </w:r>
      <w:r w:rsidRPr="00276069">
        <w:rPr>
          <w:rFonts w:ascii="Trebuchet MS" w:eastAsia="Times New Roman" w:hAnsi="Trebuchet MS" w:cs="Arial"/>
          <w:b/>
          <w:bCs/>
          <w:color w:val="1765BC"/>
          <w:spacing w:val="-12"/>
          <w:sz w:val="15"/>
          <w:szCs w:val="15"/>
          <w:lang w:val="en"/>
        </w:rPr>
        <w:t>[2]</w:t>
      </w:r>
      <w:r w:rsidRPr="00276069">
        <w:rPr>
          <w:rFonts w:ascii="Trebuchet MS" w:eastAsia="Times New Roman" w:hAnsi="Trebuchet MS" w:cs="Arial"/>
          <w:b/>
          <w:bCs/>
          <w:color w:val="333333"/>
          <w:spacing w:val="-12"/>
          <w:sz w:val="24"/>
          <w:szCs w:val="24"/>
          <w:lang w:val="en"/>
        </w:rPr>
        <w:fldChar w:fldCharType="end"/>
      </w:r>
      <w:bookmarkEnd w:id="2"/>
    </w:p>
    <w:p w:rsidR="00276069" w:rsidRPr="00276069" w:rsidRDefault="00276069" w:rsidP="00276069">
      <w:pPr>
        <w:spacing w:line="240" w:lineRule="auto"/>
        <w:jc w:val="center"/>
        <w:rPr>
          <w:rFonts w:ascii="Trebuchet MS" w:eastAsia="Times New Roman" w:hAnsi="Trebuchet MS" w:cs="Arial"/>
          <w:color w:val="333333"/>
          <w:sz w:val="21"/>
          <w:szCs w:val="21"/>
          <w:lang w:val="en"/>
        </w:rPr>
      </w:pPr>
      <w:r>
        <w:rPr>
          <w:rFonts w:ascii="Trebuchet MS" w:eastAsia="Times New Roman" w:hAnsi="Trebuchet MS" w:cs="Arial"/>
          <w:noProof/>
          <w:color w:val="333333"/>
          <w:sz w:val="21"/>
          <w:szCs w:val="21"/>
        </w:rPr>
        <w:lastRenderedPageBreak/>
        <w:drawing>
          <wp:inline distT="0" distB="0" distL="0" distR="0">
            <wp:extent cx="4287520" cy="4045585"/>
            <wp:effectExtent l="0" t="0" r="0" b="0"/>
            <wp:docPr id="5" name="Picture 5"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7520" cy="4045585"/>
                    </a:xfrm>
                    <a:prstGeom prst="rect">
                      <a:avLst/>
                    </a:prstGeom>
                    <a:noFill/>
                    <a:ln>
                      <a:noFill/>
                    </a:ln>
                  </pic:spPr>
                </pic:pic>
              </a:graphicData>
            </a:graphic>
          </wp:inline>
        </w:drawing>
      </w:r>
    </w:p>
    <w:p w:rsidR="00276069" w:rsidRPr="00276069" w:rsidRDefault="00276069" w:rsidP="00276069">
      <w:pPr>
        <w:spacing w:before="300" w:after="300" w:line="360" w:lineRule="atLeast"/>
        <w:rPr>
          <w:rFonts w:ascii="Trebuchet MS" w:eastAsia="Times New Roman" w:hAnsi="Trebuchet MS" w:cs="Arial"/>
          <w:color w:val="333333"/>
          <w:sz w:val="21"/>
          <w:szCs w:val="21"/>
          <w:lang w:val="en"/>
        </w:rPr>
      </w:pPr>
      <w:r w:rsidRPr="00276069">
        <w:rPr>
          <w:rFonts w:ascii="Trebuchet MS" w:eastAsia="Times New Roman" w:hAnsi="Trebuchet MS" w:cs="Arial"/>
          <w:color w:val="333333"/>
          <w:sz w:val="21"/>
          <w:szCs w:val="21"/>
          <w:lang w:val="en"/>
        </w:rPr>
        <w:t xml:space="preserve">What about the idea that as a society we should pay for health-maintenance services upstream to save on downstream healthcare costs? It sounds good but the data as presented above suggests the opposite — with few exceptions, paying for health maintenance upstream simply increases costs upstream without significantly impacting health downstream. This is true whether we are talking about primary or secondary prevention measures. In a </w:t>
      </w:r>
      <w:hyperlink r:id="rId8" w:history="1">
        <w:r w:rsidRPr="00276069">
          <w:rPr>
            <w:rFonts w:ascii="Trebuchet MS" w:eastAsia="Times New Roman" w:hAnsi="Trebuchet MS" w:cs="Arial"/>
            <w:color w:val="1765BC"/>
            <w:sz w:val="21"/>
            <w:szCs w:val="21"/>
            <w:lang w:val="en"/>
          </w:rPr>
          <w:t xml:space="preserve">previous article </w:t>
        </w:r>
      </w:hyperlink>
      <w:r w:rsidRPr="00276069">
        <w:rPr>
          <w:rFonts w:ascii="Trebuchet MS" w:eastAsia="Times New Roman" w:hAnsi="Trebuchet MS" w:cs="Arial"/>
          <w:color w:val="333333"/>
          <w:sz w:val="21"/>
          <w:szCs w:val="21"/>
          <w:lang w:val="en"/>
        </w:rPr>
        <w:t>I wrote that</w:t>
      </w:r>
    </w:p>
    <w:p w:rsidR="00276069" w:rsidRPr="00276069" w:rsidRDefault="00276069" w:rsidP="00276069">
      <w:pPr>
        <w:spacing w:line="360" w:lineRule="atLeast"/>
        <w:rPr>
          <w:rFonts w:ascii="Trebuchet MS" w:eastAsia="Times New Roman" w:hAnsi="Trebuchet MS" w:cs="Arial"/>
          <w:color w:val="333333"/>
          <w:sz w:val="21"/>
          <w:szCs w:val="21"/>
          <w:lang w:val="en"/>
        </w:rPr>
      </w:pPr>
      <w:proofErr w:type="gramStart"/>
      <w:r w:rsidRPr="00276069">
        <w:rPr>
          <w:rFonts w:ascii="Trebuchet MS" w:eastAsia="Times New Roman" w:hAnsi="Trebuchet MS" w:cs="Arial"/>
          <w:color w:val="333333"/>
          <w:sz w:val="21"/>
          <w:szCs w:val="21"/>
          <w:lang w:val="en"/>
        </w:rPr>
        <w:t>very</w:t>
      </w:r>
      <w:proofErr w:type="gramEnd"/>
      <w:r w:rsidRPr="00276069">
        <w:rPr>
          <w:rFonts w:ascii="Trebuchet MS" w:eastAsia="Times New Roman" w:hAnsi="Trebuchet MS" w:cs="Arial"/>
          <w:color w:val="333333"/>
          <w:sz w:val="21"/>
          <w:szCs w:val="21"/>
          <w:lang w:val="en"/>
        </w:rPr>
        <w:t xml:space="preserve"> few healthcare goods and services immediately impact whether an individual lives or dies and most of their benefits will go unnoticed. Instead, most of these goods and services, whether consumed in the inpatient or outpatient setting lower the medium or long-term risk of something or another by a few percentage points and in the end, we still die anyway. The value of this risk reduction is ultimately subjective.</w:t>
      </w:r>
    </w:p>
    <w:p w:rsidR="00276069" w:rsidRPr="00276069" w:rsidRDefault="00276069" w:rsidP="00276069">
      <w:pPr>
        <w:spacing w:before="300" w:after="300" w:line="360" w:lineRule="atLeast"/>
        <w:rPr>
          <w:rFonts w:ascii="Trebuchet MS" w:eastAsia="Times New Roman" w:hAnsi="Trebuchet MS" w:cs="Arial"/>
          <w:color w:val="333333"/>
          <w:sz w:val="21"/>
          <w:szCs w:val="21"/>
          <w:lang w:val="en"/>
        </w:rPr>
      </w:pPr>
      <w:r w:rsidRPr="00276069">
        <w:rPr>
          <w:rFonts w:ascii="Trebuchet MS" w:eastAsia="Times New Roman" w:hAnsi="Trebuchet MS" w:cs="Arial"/>
          <w:color w:val="333333"/>
          <w:sz w:val="21"/>
          <w:szCs w:val="21"/>
          <w:lang w:val="en"/>
        </w:rPr>
        <w:t>This point cannot be emphasized enough.</w:t>
      </w:r>
    </w:p>
    <w:p w:rsidR="00276069" w:rsidRPr="00276069" w:rsidRDefault="00276069" w:rsidP="00276069">
      <w:pPr>
        <w:spacing w:before="300" w:after="300" w:line="360" w:lineRule="atLeast"/>
        <w:rPr>
          <w:rFonts w:ascii="Trebuchet MS" w:eastAsia="Times New Roman" w:hAnsi="Trebuchet MS" w:cs="Arial"/>
          <w:color w:val="333333"/>
          <w:sz w:val="21"/>
          <w:szCs w:val="21"/>
          <w:lang w:val="en"/>
        </w:rPr>
      </w:pPr>
      <w:r w:rsidRPr="00276069">
        <w:rPr>
          <w:rFonts w:ascii="Trebuchet MS" w:eastAsia="Times New Roman" w:hAnsi="Trebuchet MS" w:cs="Arial"/>
          <w:color w:val="333333"/>
          <w:sz w:val="21"/>
          <w:szCs w:val="21"/>
          <w:lang w:val="en"/>
        </w:rPr>
        <w:t>Despite the above facts, benefit expansion continues unchecked, and this explains much of the extraordinary growth in healthcare costs over the last several decades (figure 2).</w:t>
      </w:r>
    </w:p>
    <w:p w:rsidR="00276069" w:rsidRPr="00276069" w:rsidRDefault="00276069" w:rsidP="00276069">
      <w:pPr>
        <w:spacing w:after="0" w:line="240" w:lineRule="auto"/>
        <w:jc w:val="center"/>
        <w:rPr>
          <w:rFonts w:ascii="Trebuchet MS" w:eastAsia="Times New Roman" w:hAnsi="Trebuchet MS" w:cs="Arial"/>
          <w:b/>
          <w:bCs/>
          <w:color w:val="333333"/>
          <w:spacing w:val="-12"/>
          <w:sz w:val="24"/>
          <w:szCs w:val="24"/>
          <w:lang w:val="en"/>
        </w:rPr>
      </w:pPr>
      <w:r w:rsidRPr="00276069">
        <w:rPr>
          <w:rFonts w:ascii="Trebuchet MS" w:eastAsia="Times New Roman" w:hAnsi="Trebuchet MS" w:cs="Arial"/>
          <w:b/>
          <w:bCs/>
          <w:color w:val="333333"/>
          <w:spacing w:val="-12"/>
          <w:sz w:val="24"/>
          <w:szCs w:val="24"/>
          <w:lang w:val="en"/>
        </w:rPr>
        <w:t>Figure 2</w:t>
      </w:r>
      <w:bookmarkStart w:id="3" w:name="ref3"/>
      <w:r w:rsidRPr="00276069">
        <w:rPr>
          <w:rFonts w:ascii="Trebuchet MS" w:eastAsia="Times New Roman" w:hAnsi="Trebuchet MS" w:cs="Arial"/>
          <w:b/>
          <w:bCs/>
          <w:color w:val="333333"/>
          <w:spacing w:val="-12"/>
          <w:sz w:val="24"/>
          <w:szCs w:val="24"/>
          <w:lang w:val="en"/>
        </w:rPr>
        <w:fldChar w:fldCharType="begin"/>
      </w:r>
      <w:r w:rsidRPr="00276069">
        <w:rPr>
          <w:rFonts w:ascii="Trebuchet MS" w:eastAsia="Times New Roman" w:hAnsi="Trebuchet MS" w:cs="Arial"/>
          <w:b/>
          <w:bCs/>
          <w:color w:val="333333"/>
          <w:spacing w:val="-12"/>
          <w:sz w:val="24"/>
          <w:szCs w:val="24"/>
          <w:lang w:val="en"/>
        </w:rPr>
        <w:instrText xml:space="preserve"> HYPERLINK "http://mises.org/daily/6110/The-Right-to-National-Bankruptcy" \l "note3" </w:instrText>
      </w:r>
      <w:r w:rsidRPr="00276069">
        <w:rPr>
          <w:rFonts w:ascii="Trebuchet MS" w:eastAsia="Times New Roman" w:hAnsi="Trebuchet MS" w:cs="Arial"/>
          <w:b/>
          <w:bCs/>
          <w:color w:val="333333"/>
          <w:spacing w:val="-12"/>
          <w:sz w:val="24"/>
          <w:szCs w:val="24"/>
          <w:lang w:val="en"/>
        </w:rPr>
        <w:fldChar w:fldCharType="separate"/>
      </w:r>
      <w:r w:rsidRPr="00276069">
        <w:rPr>
          <w:rFonts w:ascii="Trebuchet MS" w:eastAsia="Times New Roman" w:hAnsi="Trebuchet MS" w:cs="Arial"/>
          <w:b/>
          <w:bCs/>
          <w:color w:val="1765BC"/>
          <w:spacing w:val="-12"/>
          <w:sz w:val="15"/>
          <w:szCs w:val="15"/>
          <w:lang w:val="en"/>
        </w:rPr>
        <w:t>[3]</w:t>
      </w:r>
      <w:r w:rsidRPr="00276069">
        <w:rPr>
          <w:rFonts w:ascii="Trebuchet MS" w:eastAsia="Times New Roman" w:hAnsi="Trebuchet MS" w:cs="Arial"/>
          <w:b/>
          <w:bCs/>
          <w:color w:val="333333"/>
          <w:spacing w:val="-12"/>
          <w:sz w:val="24"/>
          <w:szCs w:val="24"/>
          <w:lang w:val="en"/>
        </w:rPr>
        <w:fldChar w:fldCharType="end"/>
      </w:r>
      <w:bookmarkEnd w:id="3"/>
    </w:p>
    <w:p w:rsidR="00276069" w:rsidRPr="00276069" w:rsidRDefault="00276069" w:rsidP="00276069">
      <w:pPr>
        <w:spacing w:line="240" w:lineRule="auto"/>
        <w:jc w:val="center"/>
        <w:rPr>
          <w:rFonts w:ascii="Trebuchet MS" w:eastAsia="Times New Roman" w:hAnsi="Trebuchet MS" w:cs="Arial"/>
          <w:color w:val="333333"/>
          <w:sz w:val="21"/>
          <w:szCs w:val="21"/>
          <w:lang w:val="en"/>
        </w:rPr>
      </w:pPr>
      <w:r>
        <w:rPr>
          <w:rFonts w:ascii="Trebuchet MS" w:eastAsia="Times New Roman" w:hAnsi="Trebuchet MS" w:cs="Arial"/>
          <w:noProof/>
          <w:color w:val="333333"/>
          <w:sz w:val="21"/>
          <w:szCs w:val="21"/>
        </w:rPr>
        <w:lastRenderedPageBreak/>
        <w:drawing>
          <wp:inline distT="0" distB="0" distL="0" distR="0">
            <wp:extent cx="5710555" cy="3571240"/>
            <wp:effectExtent l="0" t="0" r="4445" b="0"/>
            <wp:docPr id="4" name="Picture 4"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0555" cy="3571240"/>
                    </a:xfrm>
                    <a:prstGeom prst="rect">
                      <a:avLst/>
                    </a:prstGeom>
                    <a:noFill/>
                    <a:ln>
                      <a:noFill/>
                    </a:ln>
                  </pic:spPr>
                </pic:pic>
              </a:graphicData>
            </a:graphic>
          </wp:inline>
        </w:drawing>
      </w:r>
    </w:p>
    <w:p w:rsidR="00276069" w:rsidRPr="00276069" w:rsidRDefault="00276069" w:rsidP="00276069">
      <w:pPr>
        <w:spacing w:before="300" w:after="300" w:line="360" w:lineRule="atLeast"/>
        <w:rPr>
          <w:rFonts w:ascii="Trebuchet MS" w:eastAsia="Times New Roman" w:hAnsi="Trebuchet MS" w:cs="Arial"/>
          <w:color w:val="333333"/>
          <w:sz w:val="21"/>
          <w:szCs w:val="21"/>
          <w:lang w:val="en"/>
        </w:rPr>
      </w:pPr>
      <w:r w:rsidRPr="00276069">
        <w:rPr>
          <w:rFonts w:ascii="Trebuchet MS" w:eastAsia="Times New Roman" w:hAnsi="Trebuchet MS" w:cs="Arial"/>
          <w:color w:val="333333"/>
          <w:sz w:val="21"/>
          <w:szCs w:val="21"/>
          <w:lang w:val="en"/>
        </w:rPr>
        <w:t xml:space="preserve">The data from </w:t>
      </w:r>
      <w:proofErr w:type="spellStart"/>
      <w:r w:rsidRPr="00276069">
        <w:rPr>
          <w:rFonts w:ascii="Trebuchet MS" w:eastAsia="Times New Roman" w:hAnsi="Trebuchet MS" w:cs="Arial"/>
          <w:color w:val="333333"/>
          <w:sz w:val="21"/>
          <w:szCs w:val="21"/>
          <w:lang w:val="en"/>
        </w:rPr>
        <w:t>Kotlikoff</w:t>
      </w:r>
      <w:proofErr w:type="spellEnd"/>
      <w:r w:rsidRPr="00276069">
        <w:rPr>
          <w:rFonts w:ascii="Trebuchet MS" w:eastAsia="Times New Roman" w:hAnsi="Trebuchet MS" w:cs="Arial"/>
          <w:color w:val="333333"/>
          <w:sz w:val="21"/>
          <w:szCs w:val="21"/>
          <w:lang w:val="en"/>
        </w:rPr>
        <w:t xml:space="preserve"> and </w:t>
      </w:r>
      <w:proofErr w:type="spellStart"/>
      <w:r w:rsidRPr="00276069">
        <w:rPr>
          <w:rFonts w:ascii="Trebuchet MS" w:eastAsia="Times New Roman" w:hAnsi="Trebuchet MS" w:cs="Arial"/>
          <w:color w:val="333333"/>
          <w:sz w:val="21"/>
          <w:szCs w:val="21"/>
          <w:lang w:val="en"/>
        </w:rPr>
        <w:t>Hagist</w:t>
      </w:r>
      <w:proofErr w:type="spellEnd"/>
      <w:r w:rsidRPr="00276069">
        <w:rPr>
          <w:rFonts w:ascii="Trebuchet MS" w:eastAsia="Times New Roman" w:hAnsi="Trebuchet MS" w:cs="Arial"/>
          <w:color w:val="333333"/>
          <w:sz w:val="21"/>
          <w:szCs w:val="21"/>
          <w:lang w:val="en"/>
        </w:rPr>
        <w:t xml:space="preserve"> clearly demonstrate that healthcare-cost growth is a worldwide problem.</w:t>
      </w:r>
      <w:bookmarkStart w:id="4" w:name="ref4"/>
      <w:r w:rsidRPr="00276069">
        <w:rPr>
          <w:rFonts w:ascii="Trebuchet MS" w:eastAsia="Times New Roman" w:hAnsi="Trebuchet MS" w:cs="Arial"/>
          <w:color w:val="333333"/>
          <w:sz w:val="21"/>
          <w:szCs w:val="21"/>
          <w:lang w:val="en"/>
        </w:rPr>
        <w:fldChar w:fldCharType="begin"/>
      </w:r>
      <w:r w:rsidRPr="00276069">
        <w:rPr>
          <w:rFonts w:ascii="Trebuchet MS" w:eastAsia="Times New Roman" w:hAnsi="Trebuchet MS" w:cs="Arial"/>
          <w:color w:val="333333"/>
          <w:sz w:val="21"/>
          <w:szCs w:val="21"/>
          <w:lang w:val="en"/>
        </w:rPr>
        <w:instrText xml:space="preserve"> HYPERLINK "http://mises.org/daily/6110/The-Right-to-National-Bankruptcy" \l "note4" </w:instrText>
      </w:r>
      <w:r w:rsidRPr="00276069">
        <w:rPr>
          <w:rFonts w:ascii="Trebuchet MS" w:eastAsia="Times New Roman" w:hAnsi="Trebuchet MS" w:cs="Arial"/>
          <w:color w:val="333333"/>
          <w:sz w:val="21"/>
          <w:szCs w:val="21"/>
          <w:lang w:val="en"/>
        </w:rPr>
        <w:fldChar w:fldCharType="separate"/>
      </w:r>
      <w:r w:rsidRPr="00276069">
        <w:rPr>
          <w:rFonts w:ascii="Trebuchet MS" w:eastAsia="Times New Roman" w:hAnsi="Trebuchet MS" w:cs="Arial"/>
          <w:color w:val="1765BC"/>
          <w:sz w:val="15"/>
          <w:szCs w:val="15"/>
          <w:lang w:val="en"/>
        </w:rPr>
        <w:t>[4]</w:t>
      </w:r>
      <w:r w:rsidRPr="00276069">
        <w:rPr>
          <w:rFonts w:ascii="Trebuchet MS" w:eastAsia="Times New Roman" w:hAnsi="Trebuchet MS" w:cs="Arial"/>
          <w:color w:val="333333"/>
          <w:sz w:val="21"/>
          <w:szCs w:val="21"/>
          <w:lang w:val="en"/>
        </w:rPr>
        <w:fldChar w:fldCharType="end"/>
      </w:r>
      <w:bookmarkEnd w:id="4"/>
      <w:r w:rsidRPr="00276069">
        <w:rPr>
          <w:rFonts w:ascii="Trebuchet MS" w:eastAsia="Times New Roman" w:hAnsi="Trebuchet MS" w:cs="Arial"/>
          <w:color w:val="333333"/>
          <w:sz w:val="21"/>
          <w:szCs w:val="21"/>
          <w:lang w:val="en"/>
        </w:rPr>
        <w:t xml:space="preserve"> And as the figure further demonstrates, the bulk of this cost growth is attributable to benefit expansion to cover an ever-increasing amount of goods and services related to health maintenance. The real winner of this benefit expansion is the medical-industrial complex.</w:t>
      </w:r>
    </w:p>
    <w:p w:rsidR="00276069" w:rsidRPr="00276069" w:rsidRDefault="00276069" w:rsidP="00276069">
      <w:pPr>
        <w:spacing w:before="300" w:after="300" w:line="360" w:lineRule="atLeast"/>
        <w:rPr>
          <w:rFonts w:ascii="Trebuchet MS" w:eastAsia="Times New Roman" w:hAnsi="Trebuchet MS" w:cs="Arial"/>
          <w:color w:val="333333"/>
          <w:sz w:val="21"/>
          <w:szCs w:val="21"/>
          <w:lang w:val="en"/>
        </w:rPr>
      </w:pPr>
      <w:r w:rsidRPr="00276069">
        <w:rPr>
          <w:rFonts w:ascii="Trebuchet MS" w:eastAsia="Times New Roman" w:hAnsi="Trebuchet MS" w:cs="Arial"/>
          <w:color w:val="333333"/>
          <w:sz w:val="21"/>
          <w:szCs w:val="21"/>
          <w:lang w:val="en"/>
        </w:rPr>
        <w:t xml:space="preserve">The cost growth we see in healthcare is clearly not the result of unfettered free markets. While many make the spurious claim that the United States enjoys a free-market healthcare system, they do not argue this for most of the other countries included in </w:t>
      </w:r>
      <w:proofErr w:type="spellStart"/>
      <w:r w:rsidRPr="00276069">
        <w:rPr>
          <w:rFonts w:ascii="Trebuchet MS" w:eastAsia="Times New Roman" w:hAnsi="Trebuchet MS" w:cs="Arial"/>
          <w:color w:val="333333"/>
          <w:sz w:val="21"/>
          <w:szCs w:val="21"/>
          <w:lang w:val="en"/>
        </w:rPr>
        <w:t>Kotlikoff's</w:t>
      </w:r>
      <w:proofErr w:type="spellEnd"/>
      <w:r w:rsidRPr="00276069">
        <w:rPr>
          <w:rFonts w:ascii="Trebuchet MS" w:eastAsia="Times New Roman" w:hAnsi="Trebuchet MS" w:cs="Arial"/>
          <w:color w:val="333333"/>
          <w:sz w:val="21"/>
          <w:szCs w:val="21"/>
          <w:lang w:val="en"/>
        </w:rPr>
        <w:t xml:space="preserve"> analysis.</w:t>
      </w:r>
      <w:bookmarkStart w:id="5" w:name="ref5"/>
      <w:r w:rsidRPr="00276069">
        <w:rPr>
          <w:rFonts w:ascii="Trebuchet MS" w:eastAsia="Times New Roman" w:hAnsi="Trebuchet MS" w:cs="Arial"/>
          <w:color w:val="333333"/>
          <w:sz w:val="21"/>
          <w:szCs w:val="21"/>
          <w:lang w:val="en"/>
        </w:rPr>
        <w:fldChar w:fldCharType="begin"/>
      </w:r>
      <w:r w:rsidRPr="00276069">
        <w:rPr>
          <w:rFonts w:ascii="Trebuchet MS" w:eastAsia="Times New Roman" w:hAnsi="Trebuchet MS" w:cs="Arial"/>
          <w:color w:val="333333"/>
          <w:sz w:val="21"/>
          <w:szCs w:val="21"/>
          <w:lang w:val="en"/>
        </w:rPr>
        <w:instrText xml:space="preserve"> HYPERLINK "http://mises.org/daily/6110/The-Right-to-National-Bankruptcy" \l "note5" </w:instrText>
      </w:r>
      <w:r w:rsidRPr="00276069">
        <w:rPr>
          <w:rFonts w:ascii="Trebuchet MS" w:eastAsia="Times New Roman" w:hAnsi="Trebuchet MS" w:cs="Arial"/>
          <w:color w:val="333333"/>
          <w:sz w:val="21"/>
          <w:szCs w:val="21"/>
          <w:lang w:val="en"/>
        </w:rPr>
        <w:fldChar w:fldCharType="separate"/>
      </w:r>
      <w:r w:rsidRPr="00276069">
        <w:rPr>
          <w:rFonts w:ascii="Trebuchet MS" w:eastAsia="Times New Roman" w:hAnsi="Trebuchet MS" w:cs="Arial"/>
          <w:color w:val="1765BC"/>
          <w:sz w:val="15"/>
          <w:szCs w:val="15"/>
          <w:lang w:val="en"/>
        </w:rPr>
        <w:t>[5]</w:t>
      </w:r>
      <w:r w:rsidRPr="00276069">
        <w:rPr>
          <w:rFonts w:ascii="Trebuchet MS" w:eastAsia="Times New Roman" w:hAnsi="Trebuchet MS" w:cs="Arial"/>
          <w:color w:val="333333"/>
          <w:sz w:val="21"/>
          <w:szCs w:val="21"/>
          <w:lang w:val="en"/>
        </w:rPr>
        <w:fldChar w:fldCharType="end"/>
      </w:r>
      <w:bookmarkEnd w:id="5"/>
    </w:p>
    <w:p w:rsidR="00276069" w:rsidRPr="00276069" w:rsidRDefault="00276069" w:rsidP="00276069">
      <w:pPr>
        <w:spacing w:before="300" w:after="300" w:line="360" w:lineRule="atLeast"/>
        <w:rPr>
          <w:rFonts w:ascii="Trebuchet MS" w:eastAsia="Times New Roman" w:hAnsi="Trebuchet MS" w:cs="Arial"/>
          <w:color w:val="333333"/>
          <w:sz w:val="21"/>
          <w:szCs w:val="21"/>
          <w:lang w:val="en"/>
        </w:rPr>
      </w:pPr>
      <w:r w:rsidRPr="00276069">
        <w:rPr>
          <w:rFonts w:ascii="Trebuchet MS" w:eastAsia="Times New Roman" w:hAnsi="Trebuchet MS" w:cs="Arial"/>
          <w:i/>
          <w:iCs/>
          <w:color w:val="333333"/>
          <w:sz w:val="21"/>
          <w:szCs w:val="21"/>
          <w:lang w:val="en"/>
        </w:rPr>
        <w:t>Therefore, the argument that extraordinary healthcare-cost growth in the United States results from the free market is easily disproven</w:t>
      </w:r>
      <w:r w:rsidRPr="00276069">
        <w:rPr>
          <w:rFonts w:ascii="Trebuchet MS" w:eastAsia="Times New Roman" w:hAnsi="Trebuchet MS" w:cs="Arial"/>
          <w:color w:val="333333"/>
          <w:sz w:val="21"/>
          <w:szCs w:val="21"/>
          <w:lang w:val="en"/>
        </w:rPr>
        <w:t>. Rather, it results from benefit expansion that is either directly subsidized by or regulated by the government just as in the other countries studied.</w:t>
      </w:r>
    </w:p>
    <w:p w:rsidR="00276069" w:rsidRPr="00276069" w:rsidRDefault="00276069" w:rsidP="00276069">
      <w:pPr>
        <w:spacing w:before="300" w:after="300" w:line="360" w:lineRule="atLeast"/>
        <w:rPr>
          <w:rFonts w:ascii="Trebuchet MS" w:eastAsia="Times New Roman" w:hAnsi="Trebuchet MS" w:cs="Arial"/>
          <w:color w:val="333333"/>
          <w:sz w:val="21"/>
          <w:szCs w:val="21"/>
          <w:lang w:val="en"/>
        </w:rPr>
      </w:pPr>
      <w:r w:rsidRPr="00276069">
        <w:rPr>
          <w:rFonts w:ascii="Trebuchet MS" w:eastAsia="Times New Roman" w:hAnsi="Trebuchet MS" w:cs="Arial"/>
          <w:color w:val="333333"/>
          <w:sz w:val="21"/>
          <w:szCs w:val="21"/>
          <w:lang w:val="en"/>
        </w:rPr>
        <w:t>In fact, one of the main reasons America enjoys the highest healthcare costs per capita and the most excessive healthcare-cost growth is because we have the most generous healthcare entitlement in the world: Medicare.</w:t>
      </w:r>
    </w:p>
    <w:p w:rsidR="00276069" w:rsidRPr="00276069" w:rsidRDefault="00276069" w:rsidP="00276069">
      <w:pPr>
        <w:spacing w:before="300" w:after="300" w:line="360" w:lineRule="atLeast"/>
        <w:rPr>
          <w:rFonts w:ascii="Trebuchet MS" w:eastAsia="Times New Roman" w:hAnsi="Trebuchet MS" w:cs="Arial"/>
          <w:color w:val="333333"/>
          <w:sz w:val="21"/>
          <w:szCs w:val="21"/>
          <w:lang w:val="en"/>
        </w:rPr>
      </w:pPr>
      <w:proofErr w:type="spellStart"/>
      <w:r w:rsidRPr="00276069">
        <w:rPr>
          <w:rFonts w:ascii="Trebuchet MS" w:eastAsia="Times New Roman" w:hAnsi="Trebuchet MS" w:cs="Arial"/>
          <w:color w:val="333333"/>
          <w:sz w:val="21"/>
          <w:szCs w:val="21"/>
          <w:lang w:val="en"/>
        </w:rPr>
        <w:t>Kotlikoff</w:t>
      </w:r>
      <w:proofErr w:type="spellEnd"/>
      <w:r w:rsidRPr="00276069">
        <w:rPr>
          <w:rFonts w:ascii="Trebuchet MS" w:eastAsia="Times New Roman" w:hAnsi="Trebuchet MS" w:cs="Arial"/>
          <w:color w:val="333333"/>
          <w:sz w:val="21"/>
          <w:szCs w:val="21"/>
          <w:lang w:val="en"/>
        </w:rPr>
        <w:t xml:space="preserve"> and </w:t>
      </w:r>
      <w:proofErr w:type="spellStart"/>
      <w:r w:rsidRPr="00276069">
        <w:rPr>
          <w:rFonts w:ascii="Trebuchet MS" w:eastAsia="Times New Roman" w:hAnsi="Trebuchet MS" w:cs="Arial"/>
          <w:color w:val="333333"/>
          <w:sz w:val="21"/>
          <w:szCs w:val="21"/>
          <w:lang w:val="en"/>
        </w:rPr>
        <w:t>Hagist</w:t>
      </w:r>
      <w:proofErr w:type="spellEnd"/>
      <w:r w:rsidRPr="00276069">
        <w:rPr>
          <w:rFonts w:ascii="Trebuchet MS" w:eastAsia="Times New Roman" w:hAnsi="Trebuchet MS" w:cs="Arial"/>
          <w:color w:val="333333"/>
          <w:sz w:val="21"/>
          <w:szCs w:val="21"/>
          <w:lang w:val="en"/>
        </w:rPr>
        <w:t xml:space="preserve"> analyzed the ratio of healthcare spending based on age group and found that for individuals 65 and older the United States significantly exceeds all the other countries (figure 3).</w:t>
      </w:r>
    </w:p>
    <w:p w:rsidR="00276069" w:rsidRPr="00276069" w:rsidRDefault="00276069" w:rsidP="00276069">
      <w:pPr>
        <w:spacing w:after="0" w:line="240" w:lineRule="auto"/>
        <w:jc w:val="center"/>
        <w:rPr>
          <w:rFonts w:ascii="Trebuchet MS" w:eastAsia="Times New Roman" w:hAnsi="Trebuchet MS" w:cs="Arial"/>
          <w:b/>
          <w:bCs/>
          <w:color w:val="333333"/>
          <w:spacing w:val="-12"/>
          <w:sz w:val="24"/>
          <w:szCs w:val="24"/>
          <w:lang w:val="en"/>
        </w:rPr>
      </w:pPr>
      <w:r w:rsidRPr="00276069">
        <w:rPr>
          <w:rFonts w:ascii="Trebuchet MS" w:eastAsia="Times New Roman" w:hAnsi="Trebuchet MS" w:cs="Arial"/>
          <w:b/>
          <w:bCs/>
          <w:color w:val="333333"/>
          <w:spacing w:val="-12"/>
          <w:sz w:val="24"/>
          <w:szCs w:val="24"/>
          <w:lang w:val="en"/>
        </w:rPr>
        <w:lastRenderedPageBreak/>
        <w:t>Figure 3</w:t>
      </w:r>
      <w:bookmarkStart w:id="6" w:name="ref6"/>
      <w:r w:rsidRPr="00276069">
        <w:rPr>
          <w:rFonts w:ascii="Trebuchet MS" w:eastAsia="Times New Roman" w:hAnsi="Trebuchet MS" w:cs="Arial"/>
          <w:b/>
          <w:bCs/>
          <w:color w:val="333333"/>
          <w:spacing w:val="-12"/>
          <w:sz w:val="24"/>
          <w:szCs w:val="24"/>
          <w:lang w:val="en"/>
        </w:rPr>
        <w:fldChar w:fldCharType="begin"/>
      </w:r>
      <w:r w:rsidRPr="00276069">
        <w:rPr>
          <w:rFonts w:ascii="Trebuchet MS" w:eastAsia="Times New Roman" w:hAnsi="Trebuchet MS" w:cs="Arial"/>
          <w:b/>
          <w:bCs/>
          <w:color w:val="333333"/>
          <w:spacing w:val="-12"/>
          <w:sz w:val="24"/>
          <w:szCs w:val="24"/>
          <w:lang w:val="en"/>
        </w:rPr>
        <w:instrText xml:space="preserve"> HYPERLINK "http://mises.org/daily/6110/The-Right-to-National-Bankruptcy" \l "note6" </w:instrText>
      </w:r>
      <w:r w:rsidRPr="00276069">
        <w:rPr>
          <w:rFonts w:ascii="Trebuchet MS" w:eastAsia="Times New Roman" w:hAnsi="Trebuchet MS" w:cs="Arial"/>
          <w:b/>
          <w:bCs/>
          <w:color w:val="333333"/>
          <w:spacing w:val="-12"/>
          <w:sz w:val="24"/>
          <w:szCs w:val="24"/>
          <w:lang w:val="en"/>
        </w:rPr>
        <w:fldChar w:fldCharType="separate"/>
      </w:r>
      <w:r w:rsidRPr="00276069">
        <w:rPr>
          <w:rFonts w:ascii="Trebuchet MS" w:eastAsia="Times New Roman" w:hAnsi="Trebuchet MS" w:cs="Arial"/>
          <w:b/>
          <w:bCs/>
          <w:color w:val="1765BC"/>
          <w:spacing w:val="-12"/>
          <w:sz w:val="15"/>
          <w:szCs w:val="15"/>
          <w:lang w:val="en"/>
        </w:rPr>
        <w:t>[6]</w:t>
      </w:r>
      <w:r w:rsidRPr="00276069">
        <w:rPr>
          <w:rFonts w:ascii="Trebuchet MS" w:eastAsia="Times New Roman" w:hAnsi="Trebuchet MS" w:cs="Arial"/>
          <w:b/>
          <w:bCs/>
          <w:color w:val="333333"/>
          <w:spacing w:val="-12"/>
          <w:sz w:val="24"/>
          <w:szCs w:val="24"/>
          <w:lang w:val="en"/>
        </w:rPr>
        <w:fldChar w:fldCharType="end"/>
      </w:r>
      <w:bookmarkEnd w:id="6"/>
    </w:p>
    <w:p w:rsidR="00276069" w:rsidRPr="00276069" w:rsidRDefault="00276069" w:rsidP="00276069">
      <w:pPr>
        <w:spacing w:line="240" w:lineRule="auto"/>
        <w:jc w:val="center"/>
        <w:rPr>
          <w:rFonts w:ascii="Trebuchet MS" w:eastAsia="Times New Roman" w:hAnsi="Trebuchet MS" w:cs="Arial"/>
          <w:color w:val="333333"/>
          <w:sz w:val="21"/>
          <w:szCs w:val="21"/>
          <w:lang w:val="en"/>
        </w:rPr>
      </w:pPr>
      <w:r>
        <w:rPr>
          <w:rFonts w:ascii="Trebuchet MS" w:eastAsia="Times New Roman" w:hAnsi="Trebuchet MS" w:cs="Arial"/>
          <w:noProof/>
          <w:color w:val="333333"/>
          <w:sz w:val="21"/>
          <w:szCs w:val="21"/>
        </w:rPr>
        <w:drawing>
          <wp:inline distT="0" distB="0" distL="0" distR="0">
            <wp:extent cx="5710555" cy="3191510"/>
            <wp:effectExtent l="0" t="0" r="4445" b="8890"/>
            <wp:docPr id="3" name="Picture 3"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0555" cy="3191510"/>
                    </a:xfrm>
                    <a:prstGeom prst="rect">
                      <a:avLst/>
                    </a:prstGeom>
                    <a:noFill/>
                    <a:ln>
                      <a:noFill/>
                    </a:ln>
                  </pic:spPr>
                </pic:pic>
              </a:graphicData>
            </a:graphic>
          </wp:inline>
        </w:drawing>
      </w:r>
    </w:p>
    <w:p w:rsidR="00276069" w:rsidRPr="00276069" w:rsidRDefault="00276069" w:rsidP="00276069">
      <w:pPr>
        <w:spacing w:before="300" w:after="300" w:line="360" w:lineRule="atLeast"/>
        <w:rPr>
          <w:rFonts w:ascii="Trebuchet MS" w:eastAsia="Times New Roman" w:hAnsi="Trebuchet MS" w:cs="Arial"/>
          <w:color w:val="333333"/>
          <w:sz w:val="21"/>
          <w:szCs w:val="21"/>
          <w:lang w:val="en"/>
        </w:rPr>
      </w:pPr>
      <w:r w:rsidRPr="00276069">
        <w:rPr>
          <w:rFonts w:ascii="Trebuchet MS" w:eastAsia="Times New Roman" w:hAnsi="Trebuchet MS" w:cs="Arial"/>
          <w:color w:val="333333"/>
          <w:sz w:val="21"/>
          <w:szCs w:val="21"/>
          <w:lang w:val="en"/>
        </w:rPr>
        <w:t>As figure 3 demonstrates, Medicare is the most profligate entitlement program in the world. In a review of the literature, Levy and Meltzer identified three high-quality studies examining the Medicare population and the effect Medicare had on health outcomes. They found that "Medicare increases consumption of medical care and may modestly improve self-reported health but has no effect on mortality."</w:t>
      </w:r>
      <w:bookmarkStart w:id="7" w:name="ref7"/>
      <w:r w:rsidRPr="00276069">
        <w:rPr>
          <w:rFonts w:ascii="Trebuchet MS" w:eastAsia="Times New Roman" w:hAnsi="Trebuchet MS" w:cs="Arial"/>
          <w:color w:val="333333"/>
          <w:sz w:val="21"/>
          <w:szCs w:val="21"/>
          <w:lang w:val="en"/>
        </w:rPr>
        <w:fldChar w:fldCharType="begin"/>
      </w:r>
      <w:r w:rsidRPr="00276069">
        <w:rPr>
          <w:rFonts w:ascii="Trebuchet MS" w:eastAsia="Times New Roman" w:hAnsi="Trebuchet MS" w:cs="Arial"/>
          <w:color w:val="333333"/>
          <w:sz w:val="21"/>
          <w:szCs w:val="21"/>
          <w:lang w:val="en"/>
        </w:rPr>
        <w:instrText xml:space="preserve"> HYPERLINK "http://mises.org/daily/6110/The-Right-to-National-Bankruptcy" \l "note7" </w:instrText>
      </w:r>
      <w:r w:rsidRPr="00276069">
        <w:rPr>
          <w:rFonts w:ascii="Trebuchet MS" w:eastAsia="Times New Roman" w:hAnsi="Trebuchet MS" w:cs="Arial"/>
          <w:color w:val="333333"/>
          <w:sz w:val="21"/>
          <w:szCs w:val="21"/>
          <w:lang w:val="en"/>
        </w:rPr>
        <w:fldChar w:fldCharType="separate"/>
      </w:r>
      <w:r w:rsidRPr="00276069">
        <w:rPr>
          <w:rFonts w:ascii="Trebuchet MS" w:eastAsia="Times New Roman" w:hAnsi="Trebuchet MS" w:cs="Arial"/>
          <w:color w:val="1765BC"/>
          <w:sz w:val="15"/>
          <w:szCs w:val="15"/>
          <w:lang w:val="en"/>
        </w:rPr>
        <w:t>[7]</w:t>
      </w:r>
      <w:r w:rsidRPr="00276069">
        <w:rPr>
          <w:rFonts w:ascii="Trebuchet MS" w:eastAsia="Times New Roman" w:hAnsi="Trebuchet MS" w:cs="Arial"/>
          <w:color w:val="333333"/>
          <w:sz w:val="21"/>
          <w:szCs w:val="21"/>
          <w:lang w:val="en"/>
        </w:rPr>
        <w:fldChar w:fldCharType="end"/>
      </w:r>
      <w:bookmarkEnd w:id="7"/>
      <w:r w:rsidRPr="00276069">
        <w:rPr>
          <w:rFonts w:ascii="Trebuchet MS" w:eastAsia="Times New Roman" w:hAnsi="Trebuchet MS" w:cs="Arial"/>
          <w:color w:val="333333"/>
          <w:sz w:val="21"/>
          <w:szCs w:val="21"/>
          <w:lang w:val="en"/>
        </w:rPr>
        <w:t xml:space="preserve"> Finkelstein and McKnight used data from the 1960s to see whether geographic areas with lower insurance coverage rates prior to the enactment of Medicare experienced improvements in mortality following the enactment of Medicare relative to areas with higher pre-1965 coverage rates. They found that while hospital utilization and spending increased significantly, "In its first 10 years, the establishment of universal health insurance for the elderly had no discernible impact on their mortality."</w:t>
      </w:r>
      <w:bookmarkStart w:id="8" w:name="ref8"/>
      <w:r w:rsidRPr="00276069">
        <w:rPr>
          <w:rFonts w:ascii="Trebuchet MS" w:eastAsia="Times New Roman" w:hAnsi="Trebuchet MS" w:cs="Arial"/>
          <w:color w:val="333333"/>
          <w:sz w:val="21"/>
          <w:szCs w:val="21"/>
          <w:lang w:val="en"/>
        </w:rPr>
        <w:fldChar w:fldCharType="begin"/>
      </w:r>
      <w:r w:rsidRPr="00276069">
        <w:rPr>
          <w:rFonts w:ascii="Trebuchet MS" w:eastAsia="Times New Roman" w:hAnsi="Trebuchet MS" w:cs="Arial"/>
          <w:color w:val="333333"/>
          <w:sz w:val="21"/>
          <w:szCs w:val="21"/>
          <w:lang w:val="en"/>
        </w:rPr>
        <w:instrText xml:space="preserve"> HYPERLINK "http://mises.org/daily/6110/The-Right-to-National-Bankruptcy" \l "note8" </w:instrText>
      </w:r>
      <w:r w:rsidRPr="00276069">
        <w:rPr>
          <w:rFonts w:ascii="Trebuchet MS" w:eastAsia="Times New Roman" w:hAnsi="Trebuchet MS" w:cs="Arial"/>
          <w:color w:val="333333"/>
          <w:sz w:val="21"/>
          <w:szCs w:val="21"/>
          <w:lang w:val="en"/>
        </w:rPr>
        <w:fldChar w:fldCharType="separate"/>
      </w:r>
      <w:r w:rsidRPr="00276069">
        <w:rPr>
          <w:rFonts w:ascii="Trebuchet MS" w:eastAsia="Times New Roman" w:hAnsi="Trebuchet MS" w:cs="Arial"/>
          <w:color w:val="1765BC"/>
          <w:sz w:val="15"/>
          <w:szCs w:val="15"/>
          <w:lang w:val="en"/>
        </w:rPr>
        <w:t>[8]</w:t>
      </w:r>
      <w:r w:rsidRPr="00276069">
        <w:rPr>
          <w:rFonts w:ascii="Trebuchet MS" w:eastAsia="Times New Roman" w:hAnsi="Trebuchet MS" w:cs="Arial"/>
          <w:color w:val="333333"/>
          <w:sz w:val="21"/>
          <w:szCs w:val="21"/>
          <w:lang w:val="en"/>
        </w:rPr>
        <w:fldChar w:fldCharType="end"/>
      </w:r>
      <w:bookmarkEnd w:id="8"/>
      <w:r w:rsidRPr="00276069">
        <w:rPr>
          <w:rFonts w:ascii="Trebuchet MS" w:eastAsia="Times New Roman" w:hAnsi="Trebuchet MS" w:cs="Arial"/>
          <w:color w:val="333333"/>
          <w:sz w:val="21"/>
          <w:szCs w:val="21"/>
          <w:lang w:val="en"/>
        </w:rPr>
        <w:t xml:space="preserve"> These findings are consistent with those of the RAND health-insurance experiment and reinforce the notion that medical care plays a relatively limited role in one's overall health.</w:t>
      </w:r>
    </w:p>
    <w:p w:rsidR="00276069" w:rsidRPr="00276069" w:rsidRDefault="00276069" w:rsidP="00276069">
      <w:pPr>
        <w:spacing w:before="300" w:after="300" w:line="360" w:lineRule="atLeast"/>
        <w:rPr>
          <w:rFonts w:ascii="Trebuchet MS" w:eastAsia="Times New Roman" w:hAnsi="Trebuchet MS" w:cs="Arial"/>
          <w:color w:val="333333"/>
          <w:sz w:val="21"/>
          <w:szCs w:val="21"/>
          <w:lang w:val="en"/>
        </w:rPr>
      </w:pPr>
      <w:r w:rsidRPr="00276069">
        <w:rPr>
          <w:rFonts w:ascii="Trebuchet MS" w:eastAsia="Times New Roman" w:hAnsi="Trebuchet MS" w:cs="Arial"/>
          <w:color w:val="333333"/>
          <w:sz w:val="21"/>
          <w:szCs w:val="21"/>
          <w:lang w:val="en"/>
        </w:rPr>
        <w:t xml:space="preserve">It should be clear from what has been outlined above that benefit expansion to include an ever-increasing and complex array of mostly </w:t>
      </w:r>
      <w:proofErr w:type="spellStart"/>
      <w:r w:rsidRPr="00276069">
        <w:rPr>
          <w:rFonts w:ascii="Trebuchet MS" w:eastAsia="Times New Roman" w:hAnsi="Trebuchet MS" w:cs="Arial"/>
          <w:color w:val="333333"/>
          <w:sz w:val="21"/>
          <w:szCs w:val="21"/>
          <w:lang w:val="en"/>
        </w:rPr>
        <w:t>nonemergent</w:t>
      </w:r>
      <w:proofErr w:type="spellEnd"/>
      <w:r w:rsidRPr="00276069">
        <w:rPr>
          <w:rFonts w:ascii="Trebuchet MS" w:eastAsia="Times New Roman" w:hAnsi="Trebuchet MS" w:cs="Arial"/>
          <w:color w:val="333333"/>
          <w:sz w:val="21"/>
          <w:szCs w:val="21"/>
          <w:lang w:val="en"/>
        </w:rPr>
        <w:t xml:space="preserve"> medical goods and services is responsible for the extraordinary healthcare-cost growth we see in the United States and around the world.</w:t>
      </w:r>
    </w:p>
    <w:p w:rsidR="00276069" w:rsidRPr="00276069" w:rsidRDefault="00276069" w:rsidP="00276069">
      <w:pPr>
        <w:spacing w:before="300" w:after="300" w:line="360" w:lineRule="atLeast"/>
        <w:rPr>
          <w:rFonts w:ascii="Trebuchet MS" w:eastAsia="Times New Roman" w:hAnsi="Trebuchet MS" w:cs="Arial"/>
          <w:color w:val="333333"/>
          <w:sz w:val="21"/>
          <w:szCs w:val="21"/>
          <w:lang w:val="en"/>
        </w:rPr>
      </w:pPr>
      <w:r w:rsidRPr="00276069">
        <w:rPr>
          <w:rFonts w:ascii="Trebuchet MS" w:eastAsia="Times New Roman" w:hAnsi="Trebuchet MS" w:cs="Arial"/>
          <w:color w:val="333333"/>
          <w:sz w:val="21"/>
          <w:szCs w:val="21"/>
          <w:lang w:val="en"/>
        </w:rPr>
        <w:t xml:space="preserve">Now I would like to return to the question of rights. What exactly does the right to healthcare entail: only services that provide an immediate and tangible life-saving benefit? Should it also include those that have a significant and tangible impact on the quality of one's life? How about </w:t>
      </w:r>
      <w:r w:rsidRPr="00276069">
        <w:rPr>
          <w:rFonts w:ascii="Trebuchet MS" w:eastAsia="Times New Roman" w:hAnsi="Trebuchet MS" w:cs="Arial"/>
          <w:color w:val="333333"/>
          <w:sz w:val="21"/>
          <w:szCs w:val="21"/>
          <w:lang w:val="en"/>
        </w:rPr>
        <w:lastRenderedPageBreak/>
        <w:t xml:space="preserve">those services that can decrease one's risk of dying by 50 percent a year or 25 percent or 5 percent or 0.5 percent? What about services that cost $35,000 per quality-adjusted life year saved — or how about $250,000? Why not just anything even tangentially associated with one's health like having a higher salary, living in a bigger house, or driving a nicer car? As far as that goes, let us be reminded by Hayek, </w:t>
      </w:r>
      <w:r w:rsidRPr="00276069">
        <w:rPr>
          <w:rFonts w:ascii="Trebuchet MS" w:eastAsia="Times New Roman" w:hAnsi="Trebuchet MS" w:cs="Arial"/>
          <w:i/>
          <w:iCs/>
          <w:color w:val="333333"/>
          <w:sz w:val="21"/>
          <w:szCs w:val="21"/>
          <w:lang w:val="en"/>
        </w:rPr>
        <w:t>there is no limit</w:t>
      </w:r>
      <w:r w:rsidRPr="00276069">
        <w:rPr>
          <w:rFonts w:ascii="Trebuchet MS" w:eastAsia="Times New Roman" w:hAnsi="Trebuchet MS" w:cs="Arial"/>
          <w:color w:val="333333"/>
          <w:sz w:val="21"/>
          <w:szCs w:val="21"/>
          <w:lang w:val="en"/>
        </w:rPr>
        <w:t>. As a physician, I can attest to that.</w:t>
      </w:r>
    </w:p>
    <w:p w:rsidR="00276069" w:rsidRPr="00276069" w:rsidRDefault="00276069" w:rsidP="00276069">
      <w:pPr>
        <w:spacing w:after="0" w:line="240" w:lineRule="auto"/>
        <w:jc w:val="center"/>
        <w:rPr>
          <w:rFonts w:ascii="Trebuchet MS" w:eastAsia="Times New Roman" w:hAnsi="Trebuchet MS" w:cs="Arial"/>
          <w:color w:val="333333"/>
          <w:sz w:val="21"/>
          <w:szCs w:val="21"/>
          <w:lang w:val="en"/>
        </w:rPr>
      </w:pPr>
      <w:r>
        <w:rPr>
          <w:rFonts w:ascii="Trebuchet MS" w:eastAsia="Times New Roman" w:hAnsi="Trebuchet MS" w:cs="Arial"/>
          <w:noProof/>
          <w:color w:val="1765BC"/>
          <w:sz w:val="21"/>
          <w:szCs w:val="21"/>
        </w:rPr>
        <w:drawing>
          <wp:inline distT="0" distB="0" distL="0" distR="0">
            <wp:extent cx="1906270" cy="2855595"/>
            <wp:effectExtent l="0" t="0" r="0" b="1905"/>
            <wp:docPr id="2" name="Picture 2" descr="Mencken, H. L.">
              <a:hlinkClick xmlns:a="http://schemas.openxmlformats.org/drawingml/2006/main" r:id="rId11" tooltip="&quot;Mencken, H. 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ncken, H. L.">
                      <a:hlinkClick r:id="rId11" tooltip="&quot;Mencken, H. L.&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6270" cy="2855595"/>
                    </a:xfrm>
                    <a:prstGeom prst="rect">
                      <a:avLst/>
                    </a:prstGeom>
                    <a:noFill/>
                    <a:ln>
                      <a:noFill/>
                    </a:ln>
                  </pic:spPr>
                </pic:pic>
              </a:graphicData>
            </a:graphic>
          </wp:inline>
        </w:drawing>
      </w:r>
    </w:p>
    <w:p w:rsidR="00276069" w:rsidRPr="00276069" w:rsidRDefault="00276069" w:rsidP="00276069">
      <w:pPr>
        <w:spacing w:before="300" w:after="300" w:line="360" w:lineRule="atLeast"/>
        <w:textAlignment w:val="center"/>
        <w:rPr>
          <w:rFonts w:ascii="Trebuchet MS" w:eastAsia="Times New Roman" w:hAnsi="Trebuchet MS" w:cs="Arial"/>
          <w:color w:val="333333"/>
          <w:sz w:val="21"/>
          <w:szCs w:val="21"/>
          <w:lang w:val="en"/>
        </w:rPr>
      </w:pPr>
      <w:hyperlink r:id="rId13" w:history="1">
        <w:r w:rsidRPr="00276069">
          <w:rPr>
            <w:rFonts w:ascii="Trebuchet MS" w:eastAsia="Times New Roman" w:hAnsi="Trebuchet MS" w:cs="Arial"/>
            <w:strike/>
            <w:color w:val="FF0000"/>
            <w:sz w:val="21"/>
            <w:szCs w:val="21"/>
            <w:lang w:val="en"/>
          </w:rPr>
          <w:t>$15.00</w:t>
        </w:r>
        <w:r w:rsidRPr="00276069">
          <w:rPr>
            <w:rFonts w:ascii="Trebuchet MS" w:eastAsia="Times New Roman" w:hAnsi="Trebuchet MS" w:cs="Arial"/>
            <w:color w:val="FF0000"/>
            <w:sz w:val="21"/>
            <w:szCs w:val="21"/>
            <w:lang w:val="en"/>
          </w:rPr>
          <w:t xml:space="preserve"> $12.00</w:t>
        </w:r>
      </w:hyperlink>
    </w:p>
    <w:p w:rsidR="00276069" w:rsidRPr="00276069" w:rsidRDefault="00276069" w:rsidP="00276069">
      <w:pPr>
        <w:spacing w:before="300" w:after="300" w:line="360" w:lineRule="atLeast"/>
        <w:rPr>
          <w:rFonts w:ascii="Trebuchet MS" w:eastAsia="Times New Roman" w:hAnsi="Trebuchet MS" w:cs="Arial"/>
          <w:color w:val="333333"/>
          <w:sz w:val="21"/>
          <w:szCs w:val="21"/>
          <w:lang w:val="en"/>
        </w:rPr>
      </w:pPr>
      <w:r w:rsidRPr="00276069">
        <w:rPr>
          <w:rFonts w:ascii="Trebuchet MS" w:eastAsia="Times New Roman" w:hAnsi="Trebuchet MS" w:cs="Arial"/>
          <w:color w:val="333333"/>
          <w:sz w:val="21"/>
          <w:szCs w:val="21"/>
          <w:lang w:val="en"/>
        </w:rPr>
        <w:t xml:space="preserve">To be clear, I do not believe healthcare is a right. I believe in the nonaggression principle and thus the provision of medical goods and services at the involuntary expense of someone else (and yes, taxes are involuntary unless you personally volunteer to pay them) is actually a rights violation. But I can accept a basic level of healthcare coverage as a condition or provision of democratic citizenship; however, it should be limited to true health emergencies. And even in the case of emergencies, therapies must be limited by some objective and well-defined formula such as </w:t>
      </w:r>
      <w:r w:rsidRPr="00276069">
        <w:rPr>
          <w:rFonts w:ascii="Trebuchet MS" w:eastAsia="Times New Roman" w:hAnsi="Trebuchet MS" w:cs="Arial"/>
          <w:i/>
          <w:iCs/>
          <w:color w:val="333333"/>
          <w:sz w:val="21"/>
          <w:szCs w:val="21"/>
          <w:lang w:val="en"/>
        </w:rPr>
        <w:t>cost per quality-adjusted life years saved cannot exceed X</w:t>
      </w:r>
      <w:r w:rsidRPr="00276069">
        <w:rPr>
          <w:rFonts w:ascii="Trebuchet MS" w:eastAsia="Times New Roman" w:hAnsi="Trebuchet MS" w:cs="Arial"/>
          <w:color w:val="333333"/>
          <w:sz w:val="21"/>
          <w:szCs w:val="21"/>
          <w:lang w:val="en"/>
        </w:rPr>
        <w:t>. Anything outside this scope should have to be paid for through personal savings or provided by charity. This must be the case if there is any chance to make such a provision economically feasible over the long run. It would also preserve the market function for the vast majority of medical goods and services making them more affordable and accessible for everyone.</w:t>
      </w:r>
    </w:p>
    <w:p w:rsidR="00276069" w:rsidRPr="00276069" w:rsidRDefault="00276069" w:rsidP="00276069">
      <w:pPr>
        <w:spacing w:before="300" w:after="300" w:line="360" w:lineRule="atLeast"/>
        <w:rPr>
          <w:rFonts w:ascii="Trebuchet MS" w:eastAsia="Times New Roman" w:hAnsi="Trebuchet MS" w:cs="Arial"/>
          <w:color w:val="333333"/>
          <w:sz w:val="21"/>
          <w:szCs w:val="21"/>
          <w:lang w:val="en"/>
        </w:rPr>
      </w:pPr>
      <w:r w:rsidRPr="00276069">
        <w:rPr>
          <w:rFonts w:ascii="Trebuchet MS" w:eastAsia="Times New Roman" w:hAnsi="Trebuchet MS" w:cs="Arial"/>
          <w:color w:val="333333"/>
          <w:sz w:val="21"/>
          <w:szCs w:val="21"/>
          <w:lang w:val="en"/>
        </w:rPr>
        <w:t xml:space="preserve">In closing, I want to briefly discuss the recently upheld Patient Protection and Affordable Care Act (PPACA) and its implications for healthcare-cost growth in the United States. Its proponents professed two main intentions: </w:t>
      </w:r>
      <w:proofErr w:type="gramStart"/>
      <w:r w:rsidRPr="00276069">
        <w:rPr>
          <w:rFonts w:ascii="Trebuchet MS" w:eastAsia="Times New Roman" w:hAnsi="Trebuchet MS" w:cs="Arial"/>
          <w:color w:val="333333"/>
          <w:sz w:val="21"/>
          <w:szCs w:val="21"/>
          <w:lang w:val="en"/>
        </w:rPr>
        <w:t>(1) to insure the uninsured, and (2) to bend the healthcare</w:t>
      </w:r>
      <w:proofErr w:type="gramEnd"/>
      <w:r w:rsidRPr="00276069">
        <w:rPr>
          <w:rFonts w:ascii="Trebuchet MS" w:eastAsia="Times New Roman" w:hAnsi="Trebuchet MS" w:cs="Arial"/>
          <w:color w:val="333333"/>
          <w:sz w:val="21"/>
          <w:szCs w:val="21"/>
          <w:lang w:val="en"/>
        </w:rPr>
        <w:t xml:space="preserve"> cost </w:t>
      </w:r>
      <w:r w:rsidRPr="00276069">
        <w:rPr>
          <w:rFonts w:ascii="Trebuchet MS" w:eastAsia="Times New Roman" w:hAnsi="Trebuchet MS" w:cs="Arial"/>
          <w:color w:val="333333"/>
          <w:sz w:val="21"/>
          <w:szCs w:val="21"/>
          <w:lang w:val="en"/>
        </w:rPr>
        <w:lastRenderedPageBreak/>
        <w:t xml:space="preserve">curve down. While it will achieve the first objective, it will certainly exacerbate the problem of healthcare-cost growth — </w:t>
      </w:r>
      <w:r w:rsidRPr="00276069">
        <w:rPr>
          <w:rFonts w:ascii="Trebuchet MS" w:eastAsia="Times New Roman" w:hAnsi="Trebuchet MS" w:cs="Arial"/>
          <w:i/>
          <w:iCs/>
          <w:color w:val="333333"/>
          <w:sz w:val="21"/>
          <w:szCs w:val="21"/>
          <w:lang w:val="en"/>
        </w:rPr>
        <w:t>achieving the exact opposite of its stated intentions</w:t>
      </w:r>
      <w:r w:rsidRPr="00276069">
        <w:rPr>
          <w:rFonts w:ascii="Trebuchet MS" w:eastAsia="Times New Roman" w:hAnsi="Trebuchet MS" w:cs="Arial"/>
          <w:color w:val="333333"/>
          <w:sz w:val="21"/>
          <w:szCs w:val="21"/>
          <w:lang w:val="en"/>
        </w:rPr>
        <w:t>.</w:t>
      </w:r>
    </w:p>
    <w:p w:rsidR="00276069" w:rsidRPr="00276069" w:rsidRDefault="00276069" w:rsidP="00276069">
      <w:pPr>
        <w:spacing w:before="300" w:after="300" w:line="360" w:lineRule="atLeast"/>
        <w:rPr>
          <w:rFonts w:ascii="Trebuchet MS" w:eastAsia="Times New Roman" w:hAnsi="Trebuchet MS" w:cs="Arial"/>
          <w:color w:val="333333"/>
          <w:sz w:val="21"/>
          <w:szCs w:val="21"/>
          <w:lang w:val="en"/>
        </w:rPr>
      </w:pPr>
      <w:proofErr w:type="spellStart"/>
      <w:r w:rsidRPr="00276069">
        <w:rPr>
          <w:rFonts w:ascii="Trebuchet MS" w:eastAsia="Times New Roman" w:hAnsi="Trebuchet MS" w:cs="Arial"/>
          <w:color w:val="333333"/>
          <w:sz w:val="21"/>
          <w:szCs w:val="21"/>
          <w:lang w:val="en"/>
        </w:rPr>
        <w:t>Keehan</w:t>
      </w:r>
      <w:proofErr w:type="spellEnd"/>
      <w:r w:rsidRPr="00276069">
        <w:rPr>
          <w:rFonts w:ascii="Trebuchet MS" w:eastAsia="Times New Roman" w:hAnsi="Trebuchet MS" w:cs="Arial"/>
          <w:color w:val="333333"/>
          <w:sz w:val="21"/>
          <w:szCs w:val="21"/>
          <w:lang w:val="en"/>
        </w:rPr>
        <w:t xml:space="preserve"> and colleagues, from the Actuary Office of the Center for Medicare and Medicaid Services (CMS), recently published national healthcare spending projections through 2020. According to the authors,</w:t>
      </w:r>
    </w:p>
    <w:p w:rsidR="00276069" w:rsidRPr="00276069" w:rsidRDefault="00276069" w:rsidP="00276069">
      <w:pPr>
        <w:spacing w:line="360" w:lineRule="atLeast"/>
        <w:rPr>
          <w:rFonts w:ascii="Trebuchet MS" w:eastAsia="Times New Roman" w:hAnsi="Trebuchet MS" w:cs="Arial"/>
          <w:color w:val="333333"/>
          <w:sz w:val="21"/>
          <w:szCs w:val="21"/>
          <w:lang w:val="en"/>
        </w:rPr>
      </w:pPr>
      <w:r w:rsidRPr="00276069">
        <w:rPr>
          <w:rFonts w:ascii="Trebuchet MS" w:eastAsia="Times New Roman" w:hAnsi="Trebuchet MS" w:cs="Arial"/>
          <w:color w:val="333333"/>
          <w:sz w:val="21"/>
          <w:szCs w:val="21"/>
          <w:lang w:val="en"/>
        </w:rPr>
        <w:t>In 2014, national health spending growth is expected to reach 8.3 percent when major coverage expansions from the Affordable Care Act of 2010 begin. The expanded Medicaid and private insurance coverage are expected to increase demand for health care significantly, particularly for prescription drugs and physician and clinical services.</w:t>
      </w:r>
      <w:bookmarkStart w:id="9" w:name="ref9"/>
      <w:r w:rsidRPr="00276069">
        <w:rPr>
          <w:rFonts w:ascii="Trebuchet MS" w:eastAsia="Times New Roman" w:hAnsi="Trebuchet MS" w:cs="Arial"/>
          <w:color w:val="333333"/>
          <w:sz w:val="21"/>
          <w:szCs w:val="21"/>
          <w:lang w:val="en"/>
        </w:rPr>
        <w:fldChar w:fldCharType="begin"/>
      </w:r>
      <w:r w:rsidRPr="00276069">
        <w:rPr>
          <w:rFonts w:ascii="Trebuchet MS" w:eastAsia="Times New Roman" w:hAnsi="Trebuchet MS" w:cs="Arial"/>
          <w:color w:val="333333"/>
          <w:sz w:val="21"/>
          <w:szCs w:val="21"/>
          <w:lang w:val="en"/>
        </w:rPr>
        <w:instrText xml:space="preserve"> HYPERLINK "http://mises.org/daily/6110/The-Right-to-National-Bankruptcy" \l "note9" </w:instrText>
      </w:r>
      <w:r w:rsidRPr="00276069">
        <w:rPr>
          <w:rFonts w:ascii="Trebuchet MS" w:eastAsia="Times New Roman" w:hAnsi="Trebuchet MS" w:cs="Arial"/>
          <w:color w:val="333333"/>
          <w:sz w:val="21"/>
          <w:szCs w:val="21"/>
          <w:lang w:val="en"/>
        </w:rPr>
        <w:fldChar w:fldCharType="separate"/>
      </w:r>
      <w:r w:rsidRPr="00276069">
        <w:rPr>
          <w:rFonts w:ascii="Trebuchet MS" w:eastAsia="Times New Roman" w:hAnsi="Trebuchet MS" w:cs="Arial"/>
          <w:color w:val="1765BC"/>
          <w:sz w:val="15"/>
          <w:szCs w:val="15"/>
          <w:lang w:val="en"/>
        </w:rPr>
        <w:t>[9]</w:t>
      </w:r>
      <w:r w:rsidRPr="00276069">
        <w:rPr>
          <w:rFonts w:ascii="Trebuchet MS" w:eastAsia="Times New Roman" w:hAnsi="Trebuchet MS" w:cs="Arial"/>
          <w:color w:val="333333"/>
          <w:sz w:val="21"/>
          <w:szCs w:val="21"/>
          <w:lang w:val="en"/>
        </w:rPr>
        <w:fldChar w:fldCharType="end"/>
      </w:r>
      <w:bookmarkEnd w:id="9"/>
    </w:p>
    <w:p w:rsidR="00276069" w:rsidRPr="00276069" w:rsidRDefault="00276069" w:rsidP="00276069">
      <w:pPr>
        <w:spacing w:before="300" w:after="300" w:line="360" w:lineRule="atLeast"/>
        <w:rPr>
          <w:rFonts w:ascii="Trebuchet MS" w:eastAsia="Times New Roman" w:hAnsi="Trebuchet MS" w:cs="Arial"/>
          <w:color w:val="333333"/>
          <w:sz w:val="21"/>
          <w:szCs w:val="21"/>
          <w:lang w:val="en"/>
        </w:rPr>
      </w:pPr>
      <w:r w:rsidRPr="00276069">
        <w:rPr>
          <w:rFonts w:ascii="Trebuchet MS" w:eastAsia="Times New Roman" w:hAnsi="Trebuchet MS" w:cs="Arial"/>
          <w:color w:val="333333"/>
          <w:sz w:val="21"/>
          <w:szCs w:val="21"/>
          <w:lang w:val="en"/>
        </w:rPr>
        <w:t xml:space="preserve">The findings from the Actuary Office enforce the ideas presented throughout this paper — that subsidizing medical care in the PPACA will significantly increase consumption and thus cost growth. This will come almost entirely from </w:t>
      </w:r>
      <w:proofErr w:type="spellStart"/>
      <w:r w:rsidRPr="00276069">
        <w:rPr>
          <w:rFonts w:ascii="Trebuchet MS" w:eastAsia="Times New Roman" w:hAnsi="Trebuchet MS" w:cs="Arial"/>
          <w:color w:val="333333"/>
          <w:sz w:val="21"/>
          <w:szCs w:val="21"/>
          <w:lang w:val="en"/>
        </w:rPr>
        <w:t>nonemergent</w:t>
      </w:r>
      <w:proofErr w:type="spellEnd"/>
      <w:r w:rsidRPr="00276069">
        <w:rPr>
          <w:rFonts w:ascii="Trebuchet MS" w:eastAsia="Times New Roman" w:hAnsi="Trebuchet MS" w:cs="Arial"/>
          <w:color w:val="333333"/>
          <w:sz w:val="21"/>
          <w:szCs w:val="21"/>
          <w:lang w:val="en"/>
        </w:rPr>
        <w:t xml:space="preserve"> services and administration costs, as figure 4 demonstrates. Even the "hospital-care" cost growth included in the figure will come from </w:t>
      </w:r>
      <w:proofErr w:type="spellStart"/>
      <w:r w:rsidRPr="00276069">
        <w:rPr>
          <w:rFonts w:ascii="Trebuchet MS" w:eastAsia="Times New Roman" w:hAnsi="Trebuchet MS" w:cs="Arial"/>
          <w:color w:val="333333"/>
          <w:sz w:val="21"/>
          <w:szCs w:val="21"/>
          <w:lang w:val="en"/>
        </w:rPr>
        <w:t>nonemergent</w:t>
      </w:r>
      <w:proofErr w:type="spellEnd"/>
      <w:r w:rsidRPr="00276069">
        <w:rPr>
          <w:rFonts w:ascii="Trebuchet MS" w:eastAsia="Times New Roman" w:hAnsi="Trebuchet MS" w:cs="Arial"/>
          <w:color w:val="333333"/>
          <w:sz w:val="21"/>
          <w:szCs w:val="21"/>
          <w:lang w:val="en"/>
        </w:rPr>
        <w:t xml:space="preserve"> hospitalizations for things such as "same-day" procedures, which are not </w:t>
      </w:r>
      <w:proofErr w:type="spellStart"/>
      <w:r w:rsidRPr="00276069">
        <w:rPr>
          <w:rFonts w:ascii="Trebuchet MS" w:eastAsia="Times New Roman" w:hAnsi="Trebuchet MS" w:cs="Arial"/>
          <w:color w:val="333333"/>
          <w:sz w:val="21"/>
          <w:szCs w:val="21"/>
          <w:lang w:val="en"/>
        </w:rPr>
        <w:t>life saving</w:t>
      </w:r>
      <w:proofErr w:type="spellEnd"/>
      <w:r w:rsidRPr="00276069">
        <w:rPr>
          <w:rFonts w:ascii="Trebuchet MS" w:eastAsia="Times New Roman" w:hAnsi="Trebuchet MS" w:cs="Arial"/>
          <w:color w:val="333333"/>
          <w:sz w:val="21"/>
          <w:szCs w:val="21"/>
          <w:lang w:val="en"/>
        </w:rPr>
        <w:t>.</w:t>
      </w:r>
    </w:p>
    <w:p w:rsidR="00276069" w:rsidRPr="00276069" w:rsidRDefault="00276069" w:rsidP="00276069">
      <w:pPr>
        <w:spacing w:after="0" w:line="240" w:lineRule="auto"/>
        <w:jc w:val="center"/>
        <w:rPr>
          <w:rFonts w:ascii="Trebuchet MS" w:eastAsia="Times New Roman" w:hAnsi="Trebuchet MS" w:cs="Arial"/>
          <w:b/>
          <w:bCs/>
          <w:color w:val="333333"/>
          <w:spacing w:val="-12"/>
          <w:sz w:val="24"/>
          <w:szCs w:val="24"/>
          <w:lang w:val="en"/>
        </w:rPr>
      </w:pPr>
      <w:r w:rsidRPr="00276069">
        <w:rPr>
          <w:rFonts w:ascii="Trebuchet MS" w:eastAsia="Times New Roman" w:hAnsi="Trebuchet MS" w:cs="Arial"/>
          <w:b/>
          <w:bCs/>
          <w:color w:val="333333"/>
          <w:spacing w:val="-12"/>
          <w:sz w:val="24"/>
          <w:szCs w:val="24"/>
          <w:lang w:val="en"/>
        </w:rPr>
        <w:t>Figure 4</w:t>
      </w:r>
      <w:bookmarkStart w:id="10" w:name="ref10"/>
      <w:r w:rsidRPr="00276069">
        <w:rPr>
          <w:rFonts w:ascii="Trebuchet MS" w:eastAsia="Times New Roman" w:hAnsi="Trebuchet MS" w:cs="Arial"/>
          <w:b/>
          <w:bCs/>
          <w:color w:val="333333"/>
          <w:spacing w:val="-12"/>
          <w:sz w:val="24"/>
          <w:szCs w:val="24"/>
          <w:lang w:val="en"/>
        </w:rPr>
        <w:fldChar w:fldCharType="begin"/>
      </w:r>
      <w:r w:rsidRPr="00276069">
        <w:rPr>
          <w:rFonts w:ascii="Trebuchet MS" w:eastAsia="Times New Roman" w:hAnsi="Trebuchet MS" w:cs="Arial"/>
          <w:b/>
          <w:bCs/>
          <w:color w:val="333333"/>
          <w:spacing w:val="-12"/>
          <w:sz w:val="24"/>
          <w:szCs w:val="24"/>
          <w:lang w:val="en"/>
        </w:rPr>
        <w:instrText xml:space="preserve"> HYPERLINK "http://mises.org/daily/6110/The-Right-to-National-Bankruptcy" \l "note10" </w:instrText>
      </w:r>
      <w:r w:rsidRPr="00276069">
        <w:rPr>
          <w:rFonts w:ascii="Trebuchet MS" w:eastAsia="Times New Roman" w:hAnsi="Trebuchet MS" w:cs="Arial"/>
          <w:b/>
          <w:bCs/>
          <w:color w:val="333333"/>
          <w:spacing w:val="-12"/>
          <w:sz w:val="24"/>
          <w:szCs w:val="24"/>
          <w:lang w:val="en"/>
        </w:rPr>
        <w:fldChar w:fldCharType="separate"/>
      </w:r>
      <w:r w:rsidRPr="00276069">
        <w:rPr>
          <w:rFonts w:ascii="Trebuchet MS" w:eastAsia="Times New Roman" w:hAnsi="Trebuchet MS" w:cs="Arial"/>
          <w:b/>
          <w:bCs/>
          <w:color w:val="1765BC"/>
          <w:spacing w:val="-12"/>
          <w:sz w:val="15"/>
          <w:szCs w:val="15"/>
          <w:lang w:val="en"/>
        </w:rPr>
        <w:t>[10]</w:t>
      </w:r>
      <w:r w:rsidRPr="00276069">
        <w:rPr>
          <w:rFonts w:ascii="Trebuchet MS" w:eastAsia="Times New Roman" w:hAnsi="Trebuchet MS" w:cs="Arial"/>
          <w:b/>
          <w:bCs/>
          <w:color w:val="333333"/>
          <w:spacing w:val="-12"/>
          <w:sz w:val="24"/>
          <w:szCs w:val="24"/>
          <w:lang w:val="en"/>
        </w:rPr>
        <w:fldChar w:fldCharType="end"/>
      </w:r>
      <w:bookmarkEnd w:id="10"/>
    </w:p>
    <w:p w:rsidR="00276069" w:rsidRPr="00276069" w:rsidRDefault="00276069" w:rsidP="00276069">
      <w:pPr>
        <w:spacing w:after="45" w:line="240" w:lineRule="auto"/>
        <w:jc w:val="center"/>
        <w:rPr>
          <w:rFonts w:ascii="Trebuchet MS" w:eastAsia="Times New Roman" w:hAnsi="Trebuchet MS" w:cs="Arial"/>
          <w:color w:val="333333"/>
          <w:sz w:val="21"/>
          <w:szCs w:val="21"/>
          <w:lang w:val="en"/>
        </w:rPr>
      </w:pPr>
      <w:r>
        <w:rPr>
          <w:rFonts w:ascii="Trebuchet MS" w:eastAsia="Times New Roman" w:hAnsi="Trebuchet MS" w:cs="Arial"/>
          <w:noProof/>
          <w:color w:val="333333"/>
          <w:sz w:val="21"/>
          <w:szCs w:val="21"/>
        </w:rPr>
        <w:drawing>
          <wp:inline distT="0" distB="0" distL="0" distR="0">
            <wp:extent cx="4856480" cy="3476625"/>
            <wp:effectExtent l="0" t="0" r="1270" b="9525"/>
            <wp:docPr id="1" name="Picture 1"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6480" cy="3476625"/>
                    </a:xfrm>
                    <a:prstGeom prst="rect">
                      <a:avLst/>
                    </a:prstGeom>
                    <a:noFill/>
                    <a:ln>
                      <a:noFill/>
                    </a:ln>
                  </pic:spPr>
                </pic:pic>
              </a:graphicData>
            </a:graphic>
          </wp:inline>
        </w:drawing>
      </w:r>
    </w:p>
    <w:p w:rsidR="00276069" w:rsidRPr="00276069" w:rsidRDefault="00276069" w:rsidP="00276069">
      <w:pPr>
        <w:spacing w:line="240" w:lineRule="auto"/>
        <w:jc w:val="center"/>
        <w:rPr>
          <w:rFonts w:ascii="Trebuchet MS" w:eastAsia="Times New Roman" w:hAnsi="Trebuchet MS" w:cs="Arial"/>
          <w:i/>
          <w:iCs/>
          <w:color w:val="333333"/>
          <w:sz w:val="20"/>
          <w:szCs w:val="20"/>
          <w:lang w:val="en"/>
        </w:rPr>
      </w:pPr>
      <w:r w:rsidRPr="00276069">
        <w:rPr>
          <w:rFonts w:ascii="Trebuchet MS" w:eastAsia="Times New Roman" w:hAnsi="Trebuchet MS" w:cs="Arial"/>
          <w:i/>
          <w:iCs/>
          <w:color w:val="333333"/>
          <w:sz w:val="20"/>
          <w:szCs w:val="20"/>
          <w:lang w:val="en"/>
        </w:rPr>
        <w:t>*NHE = national health expenditure</w:t>
      </w:r>
    </w:p>
    <w:p w:rsidR="00276069" w:rsidRPr="00276069" w:rsidRDefault="00276069" w:rsidP="00276069">
      <w:pPr>
        <w:spacing w:before="300" w:after="300" w:line="360" w:lineRule="atLeast"/>
        <w:rPr>
          <w:rFonts w:ascii="Trebuchet MS" w:eastAsia="Times New Roman" w:hAnsi="Trebuchet MS" w:cs="Arial"/>
          <w:color w:val="333333"/>
          <w:sz w:val="21"/>
          <w:szCs w:val="21"/>
          <w:lang w:val="en"/>
        </w:rPr>
      </w:pPr>
      <w:r w:rsidRPr="00276069">
        <w:rPr>
          <w:rFonts w:ascii="Trebuchet MS" w:eastAsia="Times New Roman" w:hAnsi="Trebuchet MS" w:cs="Arial"/>
          <w:color w:val="333333"/>
          <w:sz w:val="21"/>
          <w:szCs w:val="21"/>
          <w:lang w:val="en"/>
        </w:rPr>
        <w:lastRenderedPageBreak/>
        <w:t>Overall, the PPACA will not affect health outcomes, but it will increase healthcare costs for everyone. The only thing clear about the right to healthcare is that it is synonymous with the right to national bankruptcy.</w:t>
      </w:r>
    </w:p>
    <w:p w:rsidR="00276069" w:rsidRPr="00276069" w:rsidRDefault="00276069" w:rsidP="00276069">
      <w:pPr>
        <w:spacing w:before="72" w:after="72" w:line="320" w:lineRule="atLeast"/>
        <w:rPr>
          <w:rFonts w:ascii="Trebuchet MS" w:eastAsia="Times New Roman" w:hAnsi="Trebuchet MS" w:cs="Arial"/>
          <w:color w:val="333333"/>
          <w:sz w:val="18"/>
          <w:szCs w:val="18"/>
          <w:lang w:val="en"/>
        </w:rPr>
      </w:pPr>
      <w:hyperlink r:id="rId15" w:anchor="tabs').tabs('select',1);window.scrollTo(0, 0);" w:history="1">
        <w:r w:rsidRPr="00276069">
          <w:rPr>
            <w:rFonts w:ascii="Trebuchet MS" w:eastAsia="Times New Roman" w:hAnsi="Trebuchet MS" w:cs="Arial"/>
            <w:color w:val="1765BC"/>
            <w:sz w:val="18"/>
            <w:szCs w:val="18"/>
            <w:lang w:val="en"/>
          </w:rPr>
          <w:t>Comment on this article.</w:t>
        </w:r>
      </w:hyperlink>
    </w:p>
    <w:p w:rsidR="00276069" w:rsidRPr="00276069" w:rsidRDefault="00276069" w:rsidP="00276069">
      <w:pPr>
        <w:spacing w:before="72" w:after="72" w:line="320" w:lineRule="atLeast"/>
        <w:rPr>
          <w:rFonts w:ascii="Trebuchet MS" w:eastAsia="Times New Roman" w:hAnsi="Trebuchet MS" w:cs="Arial"/>
          <w:color w:val="333333"/>
          <w:sz w:val="18"/>
          <w:szCs w:val="18"/>
          <w:lang w:val="en"/>
        </w:rPr>
      </w:pPr>
      <w:r w:rsidRPr="00276069">
        <w:rPr>
          <w:rFonts w:ascii="Trebuchet MS" w:eastAsia="Times New Roman" w:hAnsi="Trebuchet MS" w:cs="Arial"/>
          <w:color w:val="333333"/>
          <w:sz w:val="18"/>
          <w:szCs w:val="18"/>
          <w:lang w:val="en"/>
        </w:rPr>
        <w:t xml:space="preserve">Andrew Foy is cardiology fellow at Penn State-Hershey University Medical Center. The opinions expressed here are his own and are not intended to represent those of his employer. Send him </w:t>
      </w:r>
      <w:hyperlink r:id="rId16" w:history="1">
        <w:r w:rsidRPr="00276069">
          <w:rPr>
            <w:rFonts w:ascii="Trebuchet MS" w:eastAsia="Times New Roman" w:hAnsi="Trebuchet MS" w:cs="Arial"/>
            <w:color w:val="1765BC"/>
            <w:sz w:val="18"/>
            <w:szCs w:val="18"/>
            <w:lang w:val="en"/>
          </w:rPr>
          <w:t>mail</w:t>
        </w:r>
      </w:hyperlink>
      <w:r w:rsidRPr="00276069">
        <w:rPr>
          <w:rFonts w:ascii="Trebuchet MS" w:eastAsia="Times New Roman" w:hAnsi="Trebuchet MS" w:cs="Arial"/>
          <w:color w:val="333333"/>
          <w:sz w:val="18"/>
          <w:szCs w:val="18"/>
          <w:lang w:val="en"/>
        </w:rPr>
        <w:t xml:space="preserve">. See Andrew Foy, MD's </w:t>
      </w:r>
      <w:hyperlink r:id="rId17" w:history="1">
        <w:r w:rsidRPr="00276069">
          <w:rPr>
            <w:rFonts w:ascii="Trebuchet MS" w:eastAsia="Times New Roman" w:hAnsi="Trebuchet MS" w:cs="Arial"/>
            <w:color w:val="1765BC"/>
            <w:sz w:val="18"/>
            <w:szCs w:val="18"/>
            <w:lang w:val="en"/>
          </w:rPr>
          <w:t>article archives</w:t>
        </w:r>
      </w:hyperlink>
      <w:r w:rsidRPr="00276069">
        <w:rPr>
          <w:rFonts w:ascii="Trebuchet MS" w:eastAsia="Times New Roman" w:hAnsi="Trebuchet MS" w:cs="Arial"/>
          <w:color w:val="333333"/>
          <w:sz w:val="18"/>
          <w:szCs w:val="18"/>
          <w:lang w:val="en"/>
        </w:rPr>
        <w:t>.</w:t>
      </w:r>
    </w:p>
    <w:p w:rsidR="00276069" w:rsidRPr="00276069" w:rsidRDefault="00276069" w:rsidP="00276069">
      <w:pPr>
        <w:spacing w:before="72" w:after="72" w:line="320" w:lineRule="atLeast"/>
        <w:rPr>
          <w:rFonts w:ascii="Trebuchet MS" w:eastAsia="Times New Roman" w:hAnsi="Trebuchet MS" w:cs="Arial"/>
          <w:color w:val="333333"/>
          <w:sz w:val="18"/>
          <w:szCs w:val="18"/>
          <w:lang w:val="en"/>
        </w:rPr>
      </w:pPr>
      <w:r w:rsidRPr="00276069">
        <w:rPr>
          <w:rFonts w:ascii="Trebuchet MS" w:eastAsia="Times New Roman" w:hAnsi="Trebuchet MS" w:cs="Arial"/>
          <w:color w:val="333333"/>
          <w:sz w:val="18"/>
          <w:szCs w:val="18"/>
          <w:lang w:val="en"/>
        </w:rPr>
        <w:t xml:space="preserve">You can subscribe to future articles by Andrew Foy, MD via this </w:t>
      </w:r>
      <w:hyperlink r:id="rId18" w:history="1">
        <w:r w:rsidRPr="00276069">
          <w:rPr>
            <w:rFonts w:ascii="Trebuchet MS" w:eastAsia="Times New Roman" w:hAnsi="Trebuchet MS" w:cs="Arial"/>
            <w:color w:val="1765BC"/>
            <w:sz w:val="18"/>
            <w:szCs w:val="18"/>
            <w:lang w:val="en"/>
          </w:rPr>
          <w:t>RSS feed</w:t>
        </w:r>
      </w:hyperlink>
      <w:r w:rsidRPr="00276069">
        <w:rPr>
          <w:rFonts w:ascii="Trebuchet MS" w:eastAsia="Times New Roman" w:hAnsi="Trebuchet MS" w:cs="Arial"/>
          <w:color w:val="333333"/>
          <w:sz w:val="18"/>
          <w:szCs w:val="18"/>
          <w:lang w:val="en"/>
        </w:rPr>
        <w:t>.</w:t>
      </w:r>
    </w:p>
    <w:p w:rsidR="00276069" w:rsidRPr="00276069" w:rsidRDefault="00276069" w:rsidP="00276069">
      <w:pPr>
        <w:spacing w:before="72" w:after="72" w:line="320" w:lineRule="atLeast"/>
        <w:rPr>
          <w:rFonts w:ascii="Trebuchet MS" w:eastAsia="Times New Roman" w:hAnsi="Trebuchet MS" w:cs="Arial"/>
          <w:color w:val="333333"/>
          <w:sz w:val="18"/>
          <w:szCs w:val="18"/>
          <w:lang w:val="en"/>
        </w:rPr>
      </w:pPr>
      <w:proofErr w:type="gramStart"/>
      <w:r w:rsidRPr="00276069">
        <w:rPr>
          <w:rFonts w:ascii="Trebuchet MS" w:eastAsia="Times New Roman" w:hAnsi="Trebuchet MS" w:cs="Arial"/>
          <w:color w:val="333333"/>
          <w:sz w:val="18"/>
          <w:szCs w:val="18"/>
          <w:lang w:val="en"/>
        </w:rPr>
        <w:t xml:space="preserve">Copyright © 2012 by the Ludwig von </w:t>
      </w:r>
      <w:proofErr w:type="spellStart"/>
      <w:r w:rsidRPr="00276069">
        <w:rPr>
          <w:rFonts w:ascii="Trebuchet MS" w:eastAsia="Times New Roman" w:hAnsi="Trebuchet MS" w:cs="Arial"/>
          <w:color w:val="333333"/>
          <w:sz w:val="18"/>
          <w:szCs w:val="18"/>
          <w:lang w:val="en"/>
        </w:rPr>
        <w:t>Mises</w:t>
      </w:r>
      <w:proofErr w:type="spellEnd"/>
      <w:r w:rsidRPr="00276069">
        <w:rPr>
          <w:rFonts w:ascii="Trebuchet MS" w:eastAsia="Times New Roman" w:hAnsi="Trebuchet MS" w:cs="Arial"/>
          <w:color w:val="333333"/>
          <w:sz w:val="18"/>
          <w:szCs w:val="18"/>
          <w:lang w:val="en"/>
        </w:rPr>
        <w:t xml:space="preserve"> Institute.</w:t>
      </w:r>
      <w:proofErr w:type="gramEnd"/>
      <w:r w:rsidRPr="00276069">
        <w:rPr>
          <w:rFonts w:ascii="Trebuchet MS" w:eastAsia="Times New Roman" w:hAnsi="Trebuchet MS" w:cs="Arial"/>
          <w:color w:val="333333"/>
          <w:sz w:val="18"/>
          <w:szCs w:val="18"/>
          <w:lang w:val="en"/>
        </w:rPr>
        <w:t xml:space="preserve"> Permission to reprint in whole or in part is hereby granted, provided full credit is given.</w:t>
      </w:r>
    </w:p>
    <w:p w:rsidR="00276069" w:rsidRPr="00276069" w:rsidRDefault="00276069" w:rsidP="00276069">
      <w:pPr>
        <w:shd w:val="clear" w:color="auto" w:fill="F2F2F2"/>
        <w:spacing w:before="240" w:after="240" w:line="264" w:lineRule="atLeast"/>
        <w:outlineLvl w:val="5"/>
        <w:rPr>
          <w:rFonts w:ascii="Georgia" w:eastAsia="Times New Roman" w:hAnsi="Georgia" w:cs="Arial"/>
          <w:i/>
          <w:iCs/>
          <w:color w:val="333333"/>
          <w:sz w:val="23"/>
          <w:szCs w:val="23"/>
          <w:lang w:val="en"/>
        </w:rPr>
      </w:pPr>
      <w:r w:rsidRPr="00276069">
        <w:rPr>
          <w:rFonts w:ascii="Georgia" w:eastAsia="Times New Roman" w:hAnsi="Georgia" w:cs="Arial"/>
          <w:i/>
          <w:iCs/>
          <w:color w:val="333333"/>
          <w:sz w:val="23"/>
          <w:szCs w:val="23"/>
          <w:lang w:val="en"/>
        </w:rPr>
        <w:t>Notes</w:t>
      </w:r>
    </w:p>
    <w:bookmarkStart w:id="11" w:name="note1"/>
    <w:p w:rsidR="00276069" w:rsidRPr="00276069" w:rsidRDefault="00276069" w:rsidP="00276069">
      <w:pPr>
        <w:shd w:val="clear" w:color="auto" w:fill="F2F2F2"/>
        <w:spacing w:before="30" w:after="30" w:line="360" w:lineRule="atLeast"/>
        <w:rPr>
          <w:rFonts w:ascii="Trebuchet MS" w:eastAsia="Times New Roman" w:hAnsi="Trebuchet MS" w:cs="Arial"/>
          <w:color w:val="333333"/>
          <w:sz w:val="18"/>
          <w:szCs w:val="18"/>
          <w:lang w:val="en"/>
        </w:rPr>
      </w:pPr>
      <w:r w:rsidRPr="00276069">
        <w:rPr>
          <w:rFonts w:ascii="Trebuchet MS" w:eastAsia="Times New Roman" w:hAnsi="Trebuchet MS" w:cs="Arial"/>
          <w:color w:val="333333"/>
          <w:sz w:val="18"/>
          <w:szCs w:val="18"/>
          <w:lang w:val="en"/>
        </w:rPr>
        <w:fldChar w:fldCharType="begin"/>
      </w:r>
      <w:r w:rsidRPr="00276069">
        <w:rPr>
          <w:rFonts w:ascii="Trebuchet MS" w:eastAsia="Times New Roman" w:hAnsi="Trebuchet MS" w:cs="Arial"/>
          <w:color w:val="333333"/>
          <w:sz w:val="18"/>
          <w:szCs w:val="18"/>
          <w:lang w:val="en"/>
        </w:rPr>
        <w:instrText xml:space="preserve"> HYPERLINK "http://mises.org/daily/6110/The-Right-to-National-Bankruptcy" \l "ref1" </w:instrText>
      </w:r>
      <w:r w:rsidRPr="00276069">
        <w:rPr>
          <w:rFonts w:ascii="Trebuchet MS" w:eastAsia="Times New Roman" w:hAnsi="Trebuchet MS" w:cs="Arial"/>
          <w:color w:val="333333"/>
          <w:sz w:val="18"/>
          <w:szCs w:val="18"/>
          <w:lang w:val="en"/>
        </w:rPr>
        <w:fldChar w:fldCharType="separate"/>
      </w:r>
      <w:proofErr w:type="gramStart"/>
      <w:r w:rsidRPr="00276069">
        <w:rPr>
          <w:rFonts w:ascii="Trebuchet MS" w:eastAsia="Times New Roman" w:hAnsi="Trebuchet MS" w:cs="Arial"/>
          <w:color w:val="1765BC"/>
          <w:sz w:val="18"/>
          <w:szCs w:val="18"/>
          <w:lang w:val="en"/>
        </w:rPr>
        <w:t>[1]</w:t>
      </w:r>
      <w:r w:rsidRPr="00276069">
        <w:rPr>
          <w:rFonts w:ascii="Trebuchet MS" w:eastAsia="Times New Roman" w:hAnsi="Trebuchet MS" w:cs="Arial"/>
          <w:color w:val="333333"/>
          <w:sz w:val="18"/>
          <w:szCs w:val="18"/>
          <w:lang w:val="en"/>
        </w:rPr>
        <w:fldChar w:fldCharType="end"/>
      </w:r>
      <w:bookmarkEnd w:id="11"/>
      <w:r w:rsidRPr="00276069">
        <w:rPr>
          <w:rFonts w:ascii="Trebuchet MS" w:eastAsia="Times New Roman" w:hAnsi="Trebuchet MS" w:cs="Arial"/>
          <w:color w:val="333333"/>
          <w:sz w:val="18"/>
          <w:szCs w:val="18"/>
          <w:lang w:val="en"/>
        </w:rPr>
        <w:t xml:space="preserve"> Joseph P. Newhouse and the Insurance Experiment Group.</w:t>
      </w:r>
      <w:proofErr w:type="gramEnd"/>
      <w:r w:rsidRPr="00276069">
        <w:rPr>
          <w:rFonts w:ascii="Trebuchet MS" w:eastAsia="Times New Roman" w:hAnsi="Trebuchet MS" w:cs="Arial"/>
          <w:color w:val="333333"/>
          <w:sz w:val="18"/>
          <w:szCs w:val="18"/>
          <w:lang w:val="en"/>
        </w:rPr>
        <w:t xml:space="preserve"> </w:t>
      </w:r>
      <w:r w:rsidRPr="00276069">
        <w:rPr>
          <w:rFonts w:ascii="Trebuchet MS" w:eastAsia="Times New Roman" w:hAnsi="Trebuchet MS" w:cs="Arial"/>
          <w:i/>
          <w:iCs/>
          <w:color w:val="333333"/>
          <w:sz w:val="18"/>
          <w:szCs w:val="18"/>
          <w:lang w:val="en"/>
        </w:rPr>
        <w:t xml:space="preserve">Free for All? </w:t>
      </w:r>
      <w:proofErr w:type="gramStart"/>
      <w:r w:rsidRPr="00276069">
        <w:rPr>
          <w:rFonts w:ascii="Trebuchet MS" w:eastAsia="Times New Roman" w:hAnsi="Trebuchet MS" w:cs="Arial"/>
          <w:i/>
          <w:iCs/>
          <w:color w:val="333333"/>
          <w:sz w:val="18"/>
          <w:szCs w:val="18"/>
          <w:lang w:val="en"/>
        </w:rPr>
        <w:t>Lessons from the RAND Health Experiment</w:t>
      </w:r>
      <w:r w:rsidRPr="00276069">
        <w:rPr>
          <w:rFonts w:ascii="Trebuchet MS" w:eastAsia="Times New Roman" w:hAnsi="Trebuchet MS" w:cs="Arial"/>
          <w:color w:val="333333"/>
          <w:sz w:val="18"/>
          <w:szCs w:val="18"/>
          <w:lang w:val="en"/>
        </w:rPr>
        <w:t>.</w:t>
      </w:r>
      <w:proofErr w:type="gramEnd"/>
      <w:r w:rsidRPr="00276069">
        <w:rPr>
          <w:rFonts w:ascii="Trebuchet MS" w:eastAsia="Times New Roman" w:hAnsi="Trebuchet MS" w:cs="Arial"/>
          <w:color w:val="333333"/>
          <w:sz w:val="18"/>
          <w:szCs w:val="18"/>
          <w:lang w:val="en"/>
        </w:rPr>
        <w:t xml:space="preserve"> Cambridge, Mass.: Harvard University Press, 1993.</w:t>
      </w:r>
    </w:p>
    <w:bookmarkStart w:id="12" w:name="note2"/>
    <w:p w:rsidR="00276069" w:rsidRPr="00276069" w:rsidRDefault="00276069" w:rsidP="00276069">
      <w:pPr>
        <w:shd w:val="clear" w:color="auto" w:fill="F2F2F2"/>
        <w:spacing w:before="30" w:after="30" w:line="360" w:lineRule="atLeast"/>
        <w:rPr>
          <w:rFonts w:ascii="Trebuchet MS" w:eastAsia="Times New Roman" w:hAnsi="Trebuchet MS" w:cs="Arial"/>
          <w:color w:val="333333"/>
          <w:sz w:val="18"/>
          <w:szCs w:val="18"/>
          <w:lang w:val="en"/>
        </w:rPr>
      </w:pPr>
      <w:r w:rsidRPr="00276069">
        <w:rPr>
          <w:rFonts w:ascii="Trebuchet MS" w:eastAsia="Times New Roman" w:hAnsi="Trebuchet MS" w:cs="Arial"/>
          <w:color w:val="333333"/>
          <w:sz w:val="18"/>
          <w:szCs w:val="18"/>
          <w:lang w:val="en"/>
        </w:rPr>
        <w:fldChar w:fldCharType="begin"/>
      </w:r>
      <w:r w:rsidRPr="00276069">
        <w:rPr>
          <w:rFonts w:ascii="Trebuchet MS" w:eastAsia="Times New Roman" w:hAnsi="Trebuchet MS" w:cs="Arial"/>
          <w:color w:val="333333"/>
          <w:sz w:val="18"/>
          <w:szCs w:val="18"/>
          <w:lang w:val="en"/>
        </w:rPr>
        <w:instrText xml:space="preserve"> HYPERLINK "http://mises.org/daily/6110/The-Right-to-National-Bankruptcy" \l "ref2" </w:instrText>
      </w:r>
      <w:r w:rsidRPr="00276069">
        <w:rPr>
          <w:rFonts w:ascii="Trebuchet MS" w:eastAsia="Times New Roman" w:hAnsi="Trebuchet MS" w:cs="Arial"/>
          <w:color w:val="333333"/>
          <w:sz w:val="18"/>
          <w:szCs w:val="18"/>
          <w:lang w:val="en"/>
        </w:rPr>
        <w:fldChar w:fldCharType="separate"/>
      </w:r>
      <w:r w:rsidRPr="00276069">
        <w:rPr>
          <w:rFonts w:ascii="Trebuchet MS" w:eastAsia="Times New Roman" w:hAnsi="Trebuchet MS" w:cs="Arial"/>
          <w:color w:val="1765BC"/>
          <w:sz w:val="18"/>
          <w:szCs w:val="18"/>
          <w:lang w:val="en"/>
        </w:rPr>
        <w:t>[2]</w:t>
      </w:r>
      <w:r w:rsidRPr="00276069">
        <w:rPr>
          <w:rFonts w:ascii="Trebuchet MS" w:eastAsia="Times New Roman" w:hAnsi="Trebuchet MS" w:cs="Arial"/>
          <w:color w:val="333333"/>
          <w:sz w:val="18"/>
          <w:szCs w:val="18"/>
          <w:lang w:val="en"/>
        </w:rPr>
        <w:fldChar w:fldCharType="end"/>
      </w:r>
      <w:bookmarkEnd w:id="12"/>
      <w:r w:rsidRPr="00276069">
        <w:rPr>
          <w:rFonts w:ascii="Trebuchet MS" w:eastAsia="Times New Roman" w:hAnsi="Trebuchet MS" w:cs="Arial"/>
          <w:color w:val="333333"/>
          <w:sz w:val="18"/>
          <w:szCs w:val="18"/>
          <w:lang w:val="en"/>
        </w:rPr>
        <w:t xml:space="preserve"> Ibid.</w:t>
      </w:r>
    </w:p>
    <w:bookmarkStart w:id="13" w:name="note3"/>
    <w:p w:rsidR="00276069" w:rsidRPr="00276069" w:rsidRDefault="00276069" w:rsidP="00276069">
      <w:pPr>
        <w:shd w:val="clear" w:color="auto" w:fill="F2F2F2"/>
        <w:spacing w:before="30" w:after="30" w:line="360" w:lineRule="atLeast"/>
        <w:rPr>
          <w:rFonts w:ascii="Trebuchet MS" w:eastAsia="Times New Roman" w:hAnsi="Trebuchet MS" w:cs="Arial"/>
          <w:color w:val="333333"/>
          <w:sz w:val="18"/>
          <w:szCs w:val="18"/>
          <w:lang w:val="en"/>
        </w:rPr>
      </w:pPr>
      <w:r w:rsidRPr="00276069">
        <w:rPr>
          <w:rFonts w:ascii="Trebuchet MS" w:eastAsia="Times New Roman" w:hAnsi="Trebuchet MS" w:cs="Arial"/>
          <w:color w:val="333333"/>
          <w:sz w:val="18"/>
          <w:szCs w:val="18"/>
          <w:lang w:val="en"/>
        </w:rPr>
        <w:fldChar w:fldCharType="begin"/>
      </w:r>
      <w:r w:rsidRPr="00276069">
        <w:rPr>
          <w:rFonts w:ascii="Trebuchet MS" w:eastAsia="Times New Roman" w:hAnsi="Trebuchet MS" w:cs="Arial"/>
          <w:color w:val="333333"/>
          <w:sz w:val="18"/>
          <w:szCs w:val="18"/>
          <w:lang w:val="en"/>
        </w:rPr>
        <w:instrText xml:space="preserve"> HYPERLINK "http://mises.org/daily/6110/The-Right-to-National-Bankruptcy" \l "ref3" </w:instrText>
      </w:r>
      <w:r w:rsidRPr="00276069">
        <w:rPr>
          <w:rFonts w:ascii="Trebuchet MS" w:eastAsia="Times New Roman" w:hAnsi="Trebuchet MS" w:cs="Arial"/>
          <w:color w:val="333333"/>
          <w:sz w:val="18"/>
          <w:szCs w:val="18"/>
          <w:lang w:val="en"/>
        </w:rPr>
        <w:fldChar w:fldCharType="separate"/>
      </w:r>
      <w:proofErr w:type="gramStart"/>
      <w:r w:rsidRPr="00276069">
        <w:rPr>
          <w:rFonts w:ascii="Trebuchet MS" w:eastAsia="Times New Roman" w:hAnsi="Trebuchet MS" w:cs="Arial"/>
          <w:color w:val="1765BC"/>
          <w:sz w:val="18"/>
          <w:szCs w:val="18"/>
          <w:lang w:val="en"/>
        </w:rPr>
        <w:t>[3]</w:t>
      </w:r>
      <w:r w:rsidRPr="00276069">
        <w:rPr>
          <w:rFonts w:ascii="Trebuchet MS" w:eastAsia="Times New Roman" w:hAnsi="Trebuchet MS" w:cs="Arial"/>
          <w:color w:val="333333"/>
          <w:sz w:val="18"/>
          <w:szCs w:val="18"/>
          <w:lang w:val="en"/>
        </w:rPr>
        <w:fldChar w:fldCharType="end"/>
      </w:r>
      <w:bookmarkEnd w:id="13"/>
      <w:r w:rsidRPr="00276069">
        <w:rPr>
          <w:rFonts w:ascii="Trebuchet MS" w:eastAsia="Times New Roman" w:hAnsi="Trebuchet MS" w:cs="Arial"/>
          <w:color w:val="333333"/>
          <w:sz w:val="18"/>
          <w:szCs w:val="18"/>
          <w:lang w:val="en"/>
        </w:rPr>
        <w:t xml:space="preserve"> Laurence </w:t>
      </w:r>
      <w:proofErr w:type="spellStart"/>
      <w:r w:rsidRPr="00276069">
        <w:rPr>
          <w:rFonts w:ascii="Trebuchet MS" w:eastAsia="Times New Roman" w:hAnsi="Trebuchet MS" w:cs="Arial"/>
          <w:color w:val="333333"/>
          <w:sz w:val="18"/>
          <w:szCs w:val="18"/>
          <w:lang w:val="en"/>
        </w:rPr>
        <w:t>Kotlikoff</w:t>
      </w:r>
      <w:proofErr w:type="spellEnd"/>
      <w:r w:rsidRPr="00276069">
        <w:rPr>
          <w:rFonts w:ascii="Trebuchet MS" w:eastAsia="Times New Roman" w:hAnsi="Trebuchet MS" w:cs="Arial"/>
          <w:color w:val="333333"/>
          <w:sz w:val="18"/>
          <w:szCs w:val="18"/>
          <w:lang w:val="en"/>
        </w:rPr>
        <w:t xml:space="preserve"> and Christian </w:t>
      </w:r>
      <w:proofErr w:type="spellStart"/>
      <w:r w:rsidRPr="00276069">
        <w:rPr>
          <w:rFonts w:ascii="Trebuchet MS" w:eastAsia="Times New Roman" w:hAnsi="Trebuchet MS" w:cs="Arial"/>
          <w:color w:val="333333"/>
          <w:sz w:val="18"/>
          <w:szCs w:val="18"/>
          <w:lang w:val="en"/>
        </w:rPr>
        <w:t>Hagist</w:t>
      </w:r>
      <w:proofErr w:type="spellEnd"/>
      <w:r w:rsidRPr="00276069">
        <w:rPr>
          <w:rFonts w:ascii="Trebuchet MS" w:eastAsia="Times New Roman" w:hAnsi="Trebuchet MS" w:cs="Arial"/>
          <w:color w:val="333333"/>
          <w:sz w:val="18"/>
          <w:szCs w:val="18"/>
          <w:lang w:val="en"/>
        </w:rPr>
        <w:t>.</w:t>
      </w:r>
      <w:proofErr w:type="gramEnd"/>
      <w:r w:rsidRPr="00276069">
        <w:rPr>
          <w:rFonts w:ascii="Trebuchet MS" w:eastAsia="Times New Roman" w:hAnsi="Trebuchet MS" w:cs="Arial"/>
          <w:color w:val="333333"/>
          <w:sz w:val="18"/>
          <w:szCs w:val="18"/>
          <w:lang w:val="en"/>
        </w:rPr>
        <w:t xml:space="preserve"> </w:t>
      </w:r>
      <w:proofErr w:type="gramStart"/>
      <w:r w:rsidRPr="00276069">
        <w:rPr>
          <w:rFonts w:ascii="Trebuchet MS" w:eastAsia="Times New Roman" w:hAnsi="Trebuchet MS" w:cs="Arial"/>
          <w:i/>
          <w:iCs/>
          <w:color w:val="333333"/>
          <w:sz w:val="18"/>
          <w:szCs w:val="18"/>
          <w:lang w:val="en"/>
        </w:rPr>
        <w:t>Who's</w:t>
      </w:r>
      <w:proofErr w:type="gramEnd"/>
      <w:r w:rsidRPr="00276069">
        <w:rPr>
          <w:rFonts w:ascii="Trebuchet MS" w:eastAsia="Times New Roman" w:hAnsi="Trebuchet MS" w:cs="Arial"/>
          <w:i/>
          <w:iCs/>
          <w:color w:val="333333"/>
          <w:sz w:val="18"/>
          <w:szCs w:val="18"/>
          <w:lang w:val="en"/>
        </w:rPr>
        <w:t xml:space="preserve"> Going Broke?</w:t>
      </w:r>
      <w:r w:rsidRPr="00276069">
        <w:rPr>
          <w:rFonts w:ascii="Trebuchet MS" w:eastAsia="Times New Roman" w:hAnsi="Trebuchet MS" w:cs="Arial"/>
          <w:color w:val="333333"/>
          <w:sz w:val="18"/>
          <w:szCs w:val="18"/>
          <w:lang w:val="en"/>
        </w:rPr>
        <w:t xml:space="preserve"> </w:t>
      </w:r>
      <w:proofErr w:type="spellStart"/>
      <w:proofErr w:type="gramStart"/>
      <w:r w:rsidRPr="00276069">
        <w:rPr>
          <w:rFonts w:ascii="Trebuchet MS" w:eastAsia="Times New Roman" w:hAnsi="Trebuchet MS" w:cs="Arial"/>
          <w:color w:val="333333"/>
          <w:sz w:val="18"/>
          <w:szCs w:val="18"/>
          <w:lang w:val="en"/>
        </w:rPr>
        <w:t>Natl</w:t>
      </w:r>
      <w:proofErr w:type="spellEnd"/>
      <w:r w:rsidRPr="00276069">
        <w:rPr>
          <w:rFonts w:ascii="Trebuchet MS" w:eastAsia="Times New Roman" w:hAnsi="Trebuchet MS" w:cs="Arial"/>
          <w:color w:val="333333"/>
          <w:sz w:val="18"/>
          <w:szCs w:val="18"/>
          <w:lang w:val="en"/>
        </w:rPr>
        <w:t xml:space="preserve"> Bur Econ Res. Work Pap 11833.</w:t>
      </w:r>
      <w:proofErr w:type="gramEnd"/>
    </w:p>
    <w:bookmarkStart w:id="14" w:name="note4"/>
    <w:p w:rsidR="00276069" w:rsidRPr="00276069" w:rsidRDefault="00276069" w:rsidP="00276069">
      <w:pPr>
        <w:shd w:val="clear" w:color="auto" w:fill="F2F2F2"/>
        <w:spacing w:before="30" w:after="30" w:line="360" w:lineRule="atLeast"/>
        <w:rPr>
          <w:rFonts w:ascii="Trebuchet MS" w:eastAsia="Times New Roman" w:hAnsi="Trebuchet MS" w:cs="Arial"/>
          <w:color w:val="333333"/>
          <w:sz w:val="18"/>
          <w:szCs w:val="18"/>
          <w:lang w:val="en"/>
        </w:rPr>
      </w:pPr>
      <w:r w:rsidRPr="00276069">
        <w:rPr>
          <w:rFonts w:ascii="Trebuchet MS" w:eastAsia="Times New Roman" w:hAnsi="Trebuchet MS" w:cs="Arial"/>
          <w:color w:val="333333"/>
          <w:sz w:val="18"/>
          <w:szCs w:val="18"/>
          <w:lang w:val="en"/>
        </w:rPr>
        <w:fldChar w:fldCharType="begin"/>
      </w:r>
      <w:r w:rsidRPr="00276069">
        <w:rPr>
          <w:rFonts w:ascii="Trebuchet MS" w:eastAsia="Times New Roman" w:hAnsi="Trebuchet MS" w:cs="Arial"/>
          <w:color w:val="333333"/>
          <w:sz w:val="18"/>
          <w:szCs w:val="18"/>
          <w:lang w:val="en"/>
        </w:rPr>
        <w:instrText xml:space="preserve"> HYPERLINK "http://mises.org/daily/6110/The-Right-to-National-Bankruptcy" \l "ref4" </w:instrText>
      </w:r>
      <w:r w:rsidRPr="00276069">
        <w:rPr>
          <w:rFonts w:ascii="Trebuchet MS" w:eastAsia="Times New Roman" w:hAnsi="Trebuchet MS" w:cs="Arial"/>
          <w:color w:val="333333"/>
          <w:sz w:val="18"/>
          <w:szCs w:val="18"/>
          <w:lang w:val="en"/>
        </w:rPr>
        <w:fldChar w:fldCharType="separate"/>
      </w:r>
      <w:r w:rsidRPr="00276069">
        <w:rPr>
          <w:rFonts w:ascii="Trebuchet MS" w:eastAsia="Times New Roman" w:hAnsi="Trebuchet MS" w:cs="Arial"/>
          <w:color w:val="1765BC"/>
          <w:sz w:val="18"/>
          <w:szCs w:val="18"/>
          <w:lang w:val="en"/>
        </w:rPr>
        <w:t>[4]</w:t>
      </w:r>
      <w:r w:rsidRPr="00276069">
        <w:rPr>
          <w:rFonts w:ascii="Trebuchet MS" w:eastAsia="Times New Roman" w:hAnsi="Trebuchet MS" w:cs="Arial"/>
          <w:color w:val="333333"/>
          <w:sz w:val="18"/>
          <w:szCs w:val="18"/>
          <w:lang w:val="en"/>
        </w:rPr>
        <w:fldChar w:fldCharType="end"/>
      </w:r>
      <w:bookmarkEnd w:id="14"/>
      <w:r w:rsidRPr="00276069">
        <w:rPr>
          <w:rFonts w:ascii="Trebuchet MS" w:eastAsia="Times New Roman" w:hAnsi="Trebuchet MS" w:cs="Arial"/>
          <w:color w:val="333333"/>
          <w:sz w:val="18"/>
          <w:szCs w:val="18"/>
          <w:lang w:val="en"/>
        </w:rPr>
        <w:t xml:space="preserve"> Ibid.</w:t>
      </w:r>
    </w:p>
    <w:bookmarkStart w:id="15" w:name="note5"/>
    <w:p w:rsidR="00276069" w:rsidRPr="00276069" w:rsidRDefault="00276069" w:rsidP="00276069">
      <w:pPr>
        <w:shd w:val="clear" w:color="auto" w:fill="F2F2F2"/>
        <w:spacing w:before="30" w:after="30" w:line="360" w:lineRule="atLeast"/>
        <w:rPr>
          <w:rFonts w:ascii="Trebuchet MS" w:eastAsia="Times New Roman" w:hAnsi="Trebuchet MS" w:cs="Arial"/>
          <w:color w:val="333333"/>
          <w:sz w:val="18"/>
          <w:szCs w:val="18"/>
          <w:lang w:val="en"/>
        </w:rPr>
      </w:pPr>
      <w:r w:rsidRPr="00276069">
        <w:rPr>
          <w:rFonts w:ascii="Trebuchet MS" w:eastAsia="Times New Roman" w:hAnsi="Trebuchet MS" w:cs="Arial"/>
          <w:color w:val="333333"/>
          <w:sz w:val="18"/>
          <w:szCs w:val="18"/>
          <w:lang w:val="en"/>
        </w:rPr>
        <w:fldChar w:fldCharType="begin"/>
      </w:r>
      <w:r w:rsidRPr="00276069">
        <w:rPr>
          <w:rFonts w:ascii="Trebuchet MS" w:eastAsia="Times New Roman" w:hAnsi="Trebuchet MS" w:cs="Arial"/>
          <w:color w:val="333333"/>
          <w:sz w:val="18"/>
          <w:szCs w:val="18"/>
          <w:lang w:val="en"/>
        </w:rPr>
        <w:instrText xml:space="preserve"> HYPERLINK "http://mises.org/daily/6110/The-Right-to-National-Bankruptcy" \l "ref5" </w:instrText>
      </w:r>
      <w:r w:rsidRPr="00276069">
        <w:rPr>
          <w:rFonts w:ascii="Trebuchet MS" w:eastAsia="Times New Roman" w:hAnsi="Trebuchet MS" w:cs="Arial"/>
          <w:color w:val="333333"/>
          <w:sz w:val="18"/>
          <w:szCs w:val="18"/>
          <w:lang w:val="en"/>
        </w:rPr>
        <w:fldChar w:fldCharType="separate"/>
      </w:r>
      <w:r w:rsidRPr="00276069">
        <w:rPr>
          <w:rFonts w:ascii="Trebuchet MS" w:eastAsia="Times New Roman" w:hAnsi="Trebuchet MS" w:cs="Arial"/>
          <w:color w:val="1765BC"/>
          <w:sz w:val="18"/>
          <w:szCs w:val="18"/>
          <w:lang w:val="en"/>
        </w:rPr>
        <w:t>[5]</w:t>
      </w:r>
      <w:r w:rsidRPr="00276069">
        <w:rPr>
          <w:rFonts w:ascii="Trebuchet MS" w:eastAsia="Times New Roman" w:hAnsi="Trebuchet MS" w:cs="Arial"/>
          <w:color w:val="333333"/>
          <w:sz w:val="18"/>
          <w:szCs w:val="18"/>
          <w:lang w:val="en"/>
        </w:rPr>
        <w:fldChar w:fldCharType="end"/>
      </w:r>
      <w:bookmarkEnd w:id="15"/>
      <w:r w:rsidRPr="00276069">
        <w:rPr>
          <w:rFonts w:ascii="Trebuchet MS" w:eastAsia="Times New Roman" w:hAnsi="Trebuchet MS" w:cs="Arial"/>
          <w:color w:val="333333"/>
          <w:sz w:val="18"/>
          <w:szCs w:val="18"/>
          <w:lang w:val="en"/>
        </w:rPr>
        <w:t xml:space="preserve"> Ibid.</w:t>
      </w:r>
    </w:p>
    <w:bookmarkStart w:id="16" w:name="note6"/>
    <w:p w:rsidR="00276069" w:rsidRPr="00276069" w:rsidRDefault="00276069" w:rsidP="00276069">
      <w:pPr>
        <w:shd w:val="clear" w:color="auto" w:fill="F2F2F2"/>
        <w:spacing w:before="30" w:after="30" w:line="360" w:lineRule="atLeast"/>
        <w:rPr>
          <w:rFonts w:ascii="Trebuchet MS" w:eastAsia="Times New Roman" w:hAnsi="Trebuchet MS" w:cs="Arial"/>
          <w:color w:val="333333"/>
          <w:sz w:val="18"/>
          <w:szCs w:val="18"/>
          <w:lang w:val="en"/>
        </w:rPr>
      </w:pPr>
      <w:r w:rsidRPr="00276069">
        <w:rPr>
          <w:rFonts w:ascii="Trebuchet MS" w:eastAsia="Times New Roman" w:hAnsi="Trebuchet MS" w:cs="Arial"/>
          <w:color w:val="333333"/>
          <w:sz w:val="18"/>
          <w:szCs w:val="18"/>
          <w:lang w:val="en"/>
        </w:rPr>
        <w:fldChar w:fldCharType="begin"/>
      </w:r>
      <w:r w:rsidRPr="00276069">
        <w:rPr>
          <w:rFonts w:ascii="Trebuchet MS" w:eastAsia="Times New Roman" w:hAnsi="Trebuchet MS" w:cs="Arial"/>
          <w:color w:val="333333"/>
          <w:sz w:val="18"/>
          <w:szCs w:val="18"/>
          <w:lang w:val="en"/>
        </w:rPr>
        <w:instrText xml:space="preserve"> HYPERLINK "http://mises.org/daily/6110/The-Right-to-National-Bankruptcy" \l "ref6" </w:instrText>
      </w:r>
      <w:r w:rsidRPr="00276069">
        <w:rPr>
          <w:rFonts w:ascii="Trebuchet MS" w:eastAsia="Times New Roman" w:hAnsi="Trebuchet MS" w:cs="Arial"/>
          <w:color w:val="333333"/>
          <w:sz w:val="18"/>
          <w:szCs w:val="18"/>
          <w:lang w:val="en"/>
        </w:rPr>
        <w:fldChar w:fldCharType="separate"/>
      </w:r>
      <w:r w:rsidRPr="00276069">
        <w:rPr>
          <w:rFonts w:ascii="Trebuchet MS" w:eastAsia="Times New Roman" w:hAnsi="Trebuchet MS" w:cs="Arial"/>
          <w:color w:val="1765BC"/>
          <w:sz w:val="18"/>
          <w:szCs w:val="18"/>
          <w:lang w:val="en"/>
        </w:rPr>
        <w:t>[6]</w:t>
      </w:r>
      <w:r w:rsidRPr="00276069">
        <w:rPr>
          <w:rFonts w:ascii="Trebuchet MS" w:eastAsia="Times New Roman" w:hAnsi="Trebuchet MS" w:cs="Arial"/>
          <w:color w:val="333333"/>
          <w:sz w:val="18"/>
          <w:szCs w:val="18"/>
          <w:lang w:val="en"/>
        </w:rPr>
        <w:fldChar w:fldCharType="end"/>
      </w:r>
      <w:bookmarkEnd w:id="16"/>
      <w:r w:rsidRPr="00276069">
        <w:rPr>
          <w:rFonts w:ascii="Trebuchet MS" w:eastAsia="Times New Roman" w:hAnsi="Trebuchet MS" w:cs="Arial"/>
          <w:color w:val="333333"/>
          <w:sz w:val="18"/>
          <w:szCs w:val="18"/>
          <w:lang w:val="en"/>
        </w:rPr>
        <w:t xml:space="preserve"> Ibid.</w:t>
      </w:r>
    </w:p>
    <w:bookmarkStart w:id="17" w:name="note7"/>
    <w:p w:rsidR="00276069" w:rsidRPr="00276069" w:rsidRDefault="00276069" w:rsidP="00276069">
      <w:pPr>
        <w:shd w:val="clear" w:color="auto" w:fill="F2F2F2"/>
        <w:spacing w:before="30" w:after="30" w:line="360" w:lineRule="atLeast"/>
        <w:rPr>
          <w:rFonts w:ascii="Trebuchet MS" w:eastAsia="Times New Roman" w:hAnsi="Trebuchet MS" w:cs="Arial"/>
          <w:color w:val="333333"/>
          <w:sz w:val="18"/>
          <w:szCs w:val="18"/>
          <w:lang w:val="en"/>
        </w:rPr>
      </w:pPr>
      <w:r w:rsidRPr="00276069">
        <w:rPr>
          <w:rFonts w:ascii="Trebuchet MS" w:eastAsia="Times New Roman" w:hAnsi="Trebuchet MS" w:cs="Arial"/>
          <w:color w:val="333333"/>
          <w:sz w:val="18"/>
          <w:szCs w:val="18"/>
          <w:lang w:val="en"/>
        </w:rPr>
        <w:fldChar w:fldCharType="begin"/>
      </w:r>
      <w:r w:rsidRPr="00276069">
        <w:rPr>
          <w:rFonts w:ascii="Trebuchet MS" w:eastAsia="Times New Roman" w:hAnsi="Trebuchet MS" w:cs="Arial"/>
          <w:color w:val="333333"/>
          <w:sz w:val="18"/>
          <w:szCs w:val="18"/>
          <w:lang w:val="en"/>
        </w:rPr>
        <w:instrText xml:space="preserve"> HYPERLINK "http://mises.org/daily/6110/The-Right-to-National-Bankruptcy" \l "ref7" </w:instrText>
      </w:r>
      <w:r w:rsidRPr="00276069">
        <w:rPr>
          <w:rFonts w:ascii="Trebuchet MS" w:eastAsia="Times New Roman" w:hAnsi="Trebuchet MS" w:cs="Arial"/>
          <w:color w:val="333333"/>
          <w:sz w:val="18"/>
          <w:szCs w:val="18"/>
          <w:lang w:val="en"/>
        </w:rPr>
        <w:fldChar w:fldCharType="separate"/>
      </w:r>
      <w:r w:rsidRPr="00276069">
        <w:rPr>
          <w:rFonts w:ascii="Trebuchet MS" w:eastAsia="Times New Roman" w:hAnsi="Trebuchet MS" w:cs="Arial"/>
          <w:color w:val="1765BC"/>
          <w:sz w:val="18"/>
          <w:szCs w:val="18"/>
          <w:lang w:val="en"/>
        </w:rPr>
        <w:t>[7]</w:t>
      </w:r>
      <w:r w:rsidRPr="00276069">
        <w:rPr>
          <w:rFonts w:ascii="Trebuchet MS" w:eastAsia="Times New Roman" w:hAnsi="Trebuchet MS" w:cs="Arial"/>
          <w:color w:val="333333"/>
          <w:sz w:val="18"/>
          <w:szCs w:val="18"/>
          <w:lang w:val="en"/>
        </w:rPr>
        <w:fldChar w:fldCharType="end"/>
      </w:r>
      <w:bookmarkEnd w:id="17"/>
      <w:r w:rsidRPr="00276069">
        <w:rPr>
          <w:rFonts w:ascii="Trebuchet MS" w:eastAsia="Times New Roman" w:hAnsi="Trebuchet MS" w:cs="Arial"/>
          <w:color w:val="333333"/>
          <w:sz w:val="18"/>
          <w:szCs w:val="18"/>
          <w:lang w:val="en"/>
        </w:rPr>
        <w:t xml:space="preserve"> Levy, H; Meltzer, D. </w:t>
      </w:r>
      <w:proofErr w:type="gramStart"/>
      <w:r w:rsidRPr="00276069">
        <w:rPr>
          <w:rFonts w:ascii="Trebuchet MS" w:eastAsia="Times New Roman" w:hAnsi="Trebuchet MS" w:cs="Arial"/>
          <w:color w:val="333333"/>
          <w:sz w:val="18"/>
          <w:szCs w:val="18"/>
          <w:lang w:val="en"/>
        </w:rPr>
        <w:t>The Impact of Health Insurance on Health.</w:t>
      </w:r>
      <w:proofErr w:type="gramEnd"/>
      <w:r w:rsidRPr="00276069">
        <w:rPr>
          <w:rFonts w:ascii="Trebuchet MS" w:eastAsia="Times New Roman" w:hAnsi="Trebuchet MS" w:cs="Arial"/>
          <w:color w:val="333333"/>
          <w:sz w:val="18"/>
          <w:szCs w:val="18"/>
          <w:lang w:val="en"/>
        </w:rPr>
        <w:t xml:space="preserve"> </w:t>
      </w:r>
      <w:proofErr w:type="spellStart"/>
      <w:proofErr w:type="gramStart"/>
      <w:r w:rsidRPr="00276069">
        <w:rPr>
          <w:rFonts w:ascii="Trebuchet MS" w:eastAsia="Times New Roman" w:hAnsi="Trebuchet MS" w:cs="Arial"/>
          <w:i/>
          <w:iCs/>
          <w:color w:val="333333"/>
          <w:sz w:val="18"/>
          <w:szCs w:val="18"/>
          <w:lang w:val="en"/>
        </w:rPr>
        <w:t>Annu</w:t>
      </w:r>
      <w:proofErr w:type="spellEnd"/>
      <w:r w:rsidRPr="00276069">
        <w:rPr>
          <w:rFonts w:ascii="Trebuchet MS" w:eastAsia="Times New Roman" w:hAnsi="Trebuchet MS" w:cs="Arial"/>
          <w:i/>
          <w:iCs/>
          <w:color w:val="333333"/>
          <w:sz w:val="18"/>
          <w:szCs w:val="18"/>
          <w:lang w:val="en"/>
        </w:rPr>
        <w:t>.</w:t>
      </w:r>
      <w:proofErr w:type="gramEnd"/>
      <w:r w:rsidRPr="00276069">
        <w:rPr>
          <w:rFonts w:ascii="Trebuchet MS" w:eastAsia="Times New Roman" w:hAnsi="Trebuchet MS" w:cs="Arial"/>
          <w:i/>
          <w:iCs/>
          <w:color w:val="333333"/>
          <w:sz w:val="18"/>
          <w:szCs w:val="18"/>
          <w:lang w:val="en"/>
        </w:rPr>
        <w:t xml:space="preserve"> </w:t>
      </w:r>
      <w:proofErr w:type="gramStart"/>
      <w:r w:rsidRPr="00276069">
        <w:rPr>
          <w:rFonts w:ascii="Trebuchet MS" w:eastAsia="Times New Roman" w:hAnsi="Trebuchet MS" w:cs="Arial"/>
          <w:i/>
          <w:iCs/>
          <w:color w:val="333333"/>
          <w:sz w:val="18"/>
          <w:szCs w:val="18"/>
          <w:lang w:val="en"/>
        </w:rPr>
        <w:t>Rev. Public Health</w:t>
      </w:r>
      <w:r w:rsidRPr="00276069">
        <w:rPr>
          <w:rFonts w:ascii="Trebuchet MS" w:eastAsia="Times New Roman" w:hAnsi="Trebuchet MS" w:cs="Arial"/>
          <w:color w:val="333333"/>
          <w:sz w:val="18"/>
          <w:szCs w:val="18"/>
          <w:lang w:val="en"/>
        </w:rPr>
        <w:t>.</w:t>
      </w:r>
      <w:proofErr w:type="gramEnd"/>
      <w:r w:rsidRPr="00276069">
        <w:rPr>
          <w:rFonts w:ascii="Trebuchet MS" w:eastAsia="Times New Roman" w:hAnsi="Trebuchet MS" w:cs="Arial"/>
          <w:color w:val="333333"/>
          <w:sz w:val="18"/>
          <w:szCs w:val="18"/>
          <w:lang w:val="en"/>
        </w:rPr>
        <w:t xml:space="preserve"> 2008</w:t>
      </w:r>
      <w:proofErr w:type="gramStart"/>
      <w:r w:rsidRPr="00276069">
        <w:rPr>
          <w:rFonts w:ascii="Trebuchet MS" w:eastAsia="Times New Roman" w:hAnsi="Trebuchet MS" w:cs="Arial"/>
          <w:color w:val="333333"/>
          <w:sz w:val="18"/>
          <w:szCs w:val="18"/>
          <w:lang w:val="en"/>
        </w:rPr>
        <w:t>;2008:399</w:t>
      </w:r>
      <w:proofErr w:type="gramEnd"/>
      <w:r w:rsidRPr="00276069">
        <w:rPr>
          <w:rFonts w:ascii="Trebuchet MS" w:eastAsia="Times New Roman" w:hAnsi="Trebuchet MS" w:cs="Arial"/>
          <w:color w:val="333333"/>
          <w:sz w:val="18"/>
          <w:szCs w:val="18"/>
          <w:lang w:val="en"/>
        </w:rPr>
        <w:t>–409.</w:t>
      </w:r>
    </w:p>
    <w:bookmarkStart w:id="18" w:name="note8"/>
    <w:p w:rsidR="00276069" w:rsidRPr="00276069" w:rsidRDefault="00276069" w:rsidP="00276069">
      <w:pPr>
        <w:shd w:val="clear" w:color="auto" w:fill="F2F2F2"/>
        <w:spacing w:before="30" w:after="30" w:line="360" w:lineRule="atLeast"/>
        <w:rPr>
          <w:rFonts w:ascii="Trebuchet MS" w:eastAsia="Times New Roman" w:hAnsi="Trebuchet MS" w:cs="Arial"/>
          <w:color w:val="333333"/>
          <w:sz w:val="18"/>
          <w:szCs w:val="18"/>
          <w:lang w:val="en"/>
        </w:rPr>
      </w:pPr>
      <w:r w:rsidRPr="00276069">
        <w:rPr>
          <w:rFonts w:ascii="Trebuchet MS" w:eastAsia="Times New Roman" w:hAnsi="Trebuchet MS" w:cs="Arial"/>
          <w:color w:val="333333"/>
          <w:sz w:val="18"/>
          <w:szCs w:val="18"/>
          <w:lang w:val="en"/>
        </w:rPr>
        <w:fldChar w:fldCharType="begin"/>
      </w:r>
      <w:r w:rsidRPr="00276069">
        <w:rPr>
          <w:rFonts w:ascii="Trebuchet MS" w:eastAsia="Times New Roman" w:hAnsi="Trebuchet MS" w:cs="Arial"/>
          <w:color w:val="333333"/>
          <w:sz w:val="18"/>
          <w:szCs w:val="18"/>
          <w:lang w:val="en"/>
        </w:rPr>
        <w:instrText xml:space="preserve"> HYPERLINK "http://mises.org/daily/6110/The-Right-to-National-Bankruptcy" \l "ref8" </w:instrText>
      </w:r>
      <w:r w:rsidRPr="00276069">
        <w:rPr>
          <w:rFonts w:ascii="Trebuchet MS" w:eastAsia="Times New Roman" w:hAnsi="Trebuchet MS" w:cs="Arial"/>
          <w:color w:val="333333"/>
          <w:sz w:val="18"/>
          <w:szCs w:val="18"/>
          <w:lang w:val="en"/>
        </w:rPr>
        <w:fldChar w:fldCharType="separate"/>
      </w:r>
      <w:r w:rsidRPr="00276069">
        <w:rPr>
          <w:rFonts w:ascii="Trebuchet MS" w:eastAsia="Times New Roman" w:hAnsi="Trebuchet MS" w:cs="Arial"/>
          <w:color w:val="1765BC"/>
          <w:sz w:val="18"/>
          <w:szCs w:val="18"/>
          <w:lang w:val="en"/>
        </w:rPr>
        <w:t>[8]</w:t>
      </w:r>
      <w:r w:rsidRPr="00276069">
        <w:rPr>
          <w:rFonts w:ascii="Trebuchet MS" w:eastAsia="Times New Roman" w:hAnsi="Trebuchet MS" w:cs="Arial"/>
          <w:color w:val="333333"/>
          <w:sz w:val="18"/>
          <w:szCs w:val="18"/>
          <w:lang w:val="en"/>
        </w:rPr>
        <w:fldChar w:fldCharType="end"/>
      </w:r>
      <w:bookmarkEnd w:id="18"/>
      <w:r w:rsidRPr="00276069">
        <w:rPr>
          <w:rFonts w:ascii="Trebuchet MS" w:eastAsia="Times New Roman" w:hAnsi="Trebuchet MS" w:cs="Arial"/>
          <w:color w:val="333333"/>
          <w:sz w:val="18"/>
          <w:szCs w:val="18"/>
          <w:lang w:val="en"/>
        </w:rPr>
        <w:t xml:space="preserve"> Finkelstein, A; McKnight R., </w:t>
      </w:r>
      <w:hyperlink r:id="rId19" w:history="1">
        <w:r w:rsidRPr="00276069">
          <w:rPr>
            <w:rFonts w:ascii="Trebuchet MS" w:eastAsia="Times New Roman" w:hAnsi="Trebuchet MS" w:cs="Arial"/>
            <w:color w:val="1765BC"/>
            <w:sz w:val="18"/>
            <w:szCs w:val="18"/>
            <w:lang w:val="en"/>
          </w:rPr>
          <w:t>"What Did Medicare Do (and Was It Worth It)?"</w:t>
        </w:r>
      </w:hyperlink>
      <w:r w:rsidRPr="00276069">
        <w:rPr>
          <w:rFonts w:ascii="Trebuchet MS" w:eastAsia="Times New Roman" w:hAnsi="Trebuchet MS" w:cs="Arial"/>
          <w:color w:val="333333"/>
          <w:sz w:val="18"/>
          <w:szCs w:val="18"/>
          <w:lang w:val="en"/>
        </w:rPr>
        <w:t xml:space="preserve"> </w:t>
      </w:r>
      <w:proofErr w:type="gramStart"/>
      <w:r w:rsidRPr="00276069">
        <w:rPr>
          <w:rFonts w:ascii="Trebuchet MS" w:eastAsia="Times New Roman" w:hAnsi="Trebuchet MS" w:cs="Arial"/>
          <w:color w:val="333333"/>
          <w:sz w:val="18"/>
          <w:szCs w:val="18"/>
          <w:lang w:val="en"/>
        </w:rPr>
        <w:t xml:space="preserve">(2005). </w:t>
      </w:r>
      <w:proofErr w:type="spellStart"/>
      <w:r w:rsidRPr="00276069">
        <w:rPr>
          <w:rFonts w:ascii="Trebuchet MS" w:eastAsia="Times New Roman" w:hAnsi="Trebuchet MS" w:cs="Arial"/>
          <w:color w:val="333333"/>
          <w:sz w:val="18"/>
          <w:szCs w:val="18"/>
          <w:lang w:val="en"/>
        </w:rPr>
        <w:t>Natl</w:t>
      </w:r>
      <w:proofErr w:type="spellEnd"/>
      <w:r w:rsidRPr="00276069">
        <w:rPr>
          <w:rFonts w:ascii="Trebuchet MS" w:eastAsia="Times New Roman" w:hAnsi="Trebuchet MS" w:cs="Arial"/>
          <w:color w:val="333333"/>
          <w:sz w:val="18"/>
          <w:szCs w:val="18"/>
          <w:lang w:val="en"/>
        </w:rPr>
        <w:t xml:space="preserve"> Bur Econ Res Work Pap 11609.</w:t>
      </w:r>
      <w:proofErr w:type="gramEnd"/>
    </w:p>
    <w:bookmarkStart w:id="19" w:name="note9"/>
    <w:p w:rsidR="00276069" w:rsidRPr="00276069" w:rsidRDefault="00276069" w:rsidP="00276069">
      <w:pPr>
        <w:shd w:val="clear" w:color="auto" w:fill="F2F2F2"/>
        <w:spacing w:before="30" w:after="30" w:line="360" w:lineRule="atLeast"/>
        <w:rPr>
          <w:rFonts w:ascii="Trebuchet MS" w:eastAsia="Times New Roman" w:hAnsi="Trebuchet MS" w:cs="Arial"/>
          <w:color w:val="333333"/>
          <w:sz w:val="18"/>
          <w:szCs w:val="18"/>
          <w:lang w:val="en"/>
        </w:rPr>
      </w:pPr>
      <w:r w:rsidRPr="00276069">
        <w:rPr>
          <w:rFonts w:ascii="Trebuchet MS" w:eastAsia="Times New Roman" w:hAnsi="Trebuchet MS" w:cs="Arial"/>
          <w:color w:val="333333"/>
          <w:sz w:val="18"/>
          <w:szCs w:val="18"/>
          <w:lang w:val="en"/>
        </w:rPr>
        <w:fldChar w:fldCharType="begin"/>
      </w:r>
      <w:r w:rsidRPr="00276069">
        <w:rPr>
          <w:rFonts w:ascii="Trebuchet MS" w:eastAsia="Times New Roman" w:hAnsi="Trebuchet MS" w:cs="Arial"/>
          <w:color w:val="333333"/>
          <w:sz w:val="18"/>
          <w:szCs w:val="18"/>
          <w:lang w:val="en"/>
        </w:rPr>
        <w:instrText xml:space="preserve"> HYPERLINK "http://mises.org/daily/6110/The-Right-to-National-Bankruptcy" \l "ref9" </w:instrText>
      </w:r>
      <w:r w:rsidRPr="00276069">
        <w:rPr>
          <w:rFonts w:ascii="Trebuchet MS" w:eastAsia="Times New Roman" w:hAnsi="Trebuchet MS" w:cs="Arial"/>
          <w:color w:val="333333"/>
          <w:sz w:val="18"/>
          <w:szCs w:val="18"/>
          <w:lang w:val="en"/>
        </w:rPr>
        <w:fldChar w:fldCharType="separate"/>
      </w:r>
      <w:r w:rsidRPr="00276069">
        <w:rPr>
          <w:rFonts w:ascii="Trebuchet MS" w:eastAsia="Times New Roman" w:hAnsi="Trebuchet MS" w:cs="Arial"/>
          <w:color w:val="1765BC"/>
          <w:sz w:val="18"/>
          <w:szCs w:val="18"/>
          <w:lang w:val="en"/>
        </w:rPr>
        <w:t>[9]</w:t>
      </w:r>
      <w:r w:rsidRPr="00276069">
        <w:rPr>
          <w:rFonts w:ascii="Trebuchet MS" w:eastAsia="Times New Roman" w:hAnsi="Trebuchet MS" w:cs="Arial"/>
          <w:color w:val="333333"/>
          <w:sz w:val="18"/>
          <w:szCs w:val="18"/>
          <w:lang w:val="en"/>
        </w:rPr>
        <w:fldChar w:fldCharType="end"/>
      </w:r>
      <w:bookmarkEnd w:id="19"/>
      <w:r w:rsidRPr="00276069">
        <w:rPr>
          <w:rFonts w:ascii="Trebuchet MS" w:eastAsia="Times New Roman" w:hAnsi="Trebuchet MS" w:cs="Arial"/>
          <w:color w:val="333333"/>
          <w:sz w:val="18"/>
          <w:szCs w:val="18"/>
          <w:lang w:val="en"/>
        </w:rPr>
        <w:t xml:space="preserve"> </w:t>
      </w:r>
      <w:proofErr w:type="spellStart"/>
      <w:r w:rsidRPr="00276069">
        <w:rPr>
          <w:rFonts w:ascii="Trebuchet MS" w:eastAsia="Times New Roman" w:hAnsi="Trebuchet MS" w:cs="Arial"/>
          <w:color w:val="333333"/>
          <w:sz w:val="18"/>
          <w:szCs w:val="18"/>
          <w:lang w:val="en"/>
        </w:rPr>
        <w:t>Keehan</w:t>
      </w:r>
      <w:proofErr w:type="spellEnd"/>
      <w:r w:rsidRPr="00276069">
        <w:rPr>
          <w:rFonts w:ascii="Trebuchet MS" w:eastAsia="Times New Roman" w:hAnsi="Trebuchet MS" w:cs="Arial"/>
          <w:color w:val="333333"/>
          <w:sz w:val="18"/>
          <w:szCs w:val="18"/>
          <w:lang w:val="en"/>
        </w:rPr>
        <w:t xml:space="preserve"> SP, </w:t>
      </w:r>
      <w:proofErr w:type="spellStart"/>
      <w:r w:rsidRPr="00276069">
        <w:rPr>
          <w:rFonts w:ascii="Trebuchet MS" w:eastAsia="Times New Roman" w:hAnsi="Trebuchet MS" w:cs="Arial"/>
          <w:color w:val="333333"/>
          <w:sz w:val="18"/>
          <w:szCs w:val="18"/>
          <w:lang w:val="en"/>
        </w:rPr>
        <w:t>Sisko</w:t>
      </w:r>
      <w:proofErr w:type="spellEnd"/>
      <w:r w:rsidRPr="00276069">
        <w:rPr>
          <w:rFonts w:ascii="Trebuchet MS" w:eastAsia="Times New Roman" w:hAnsi="Trebuchet MS" w:cs="Arial"/>
          <w:color w:val="333333"/>
          <w:sz w:val="18"/>
          <w:szCs w:val="18"/>
          <w:lang w:val="en"/>
        </w:rPr>
        <w:t xml:space="preserve"> </w:t>
      </w:r>
      <w:proofErr w:type="gramStart"/>
      <w:r w:rsidRPr="00276069">
        <w:rPr>
          <w:rFonts w:ascii="Trebuchet MS" w:eastAsia="Times New Roman" w:hAnsi="Trebuchet MS" w:cs="Arial"/>
          <w:color w:val="333333"/>
          <w:sz w:val="18"/>
          <w:szCs w:val="18"/>
          <w:lang w:val="en"/>
        </w:rPr>
        <w:t>AM</w:t>
      </w:r>
      <w:proofErr w:type="gramEnd"/>
      <w:r w:rsidRPr="00276069">
        <w:rPr>
          <w:rFonts w:ascii="Trebuchet MS" w:eastAsia="Times New Roman" w:hAnsi="Trebuchet MS" w:cs="Arial"/>
          <w:color w:val="333333"/>
          <w:sz w:val="18"/>
          <w:szCs w:val="18"/>
          <w:lang w:val="en"/>
        </w:rPr>
        <w:t xml:space="preserve">, </w:t>
      </w:r>
      <w:proofErr w:type="spellStart"/>
      <w:r w:rsidRPr="00276069">
        <w:rPr>
          <w:rFonts w:ascii="Trebuchet MS" w:eastAsia="Times New Roman" w:hAnsi="Trebuchet MS" w:cs="Arial"/>
          <w:color w:val="333333"/>
          <w:sz w:val="18"/>
          <w:szCs w:val="18"/>
          <w:lang w:val="en"/>
        </w:rPr>
        <w:t>Truffer</w:t>
      </w:r>
      <w:proofErr w:type="spellEnd"/>
      <w:r w:rsidRPr="00276069">
        <w:rPr>
          <w:rFonts w:ascii="Trebuchet MS" w:eastAsia="Times New Roman" w:hAnsi="Trebuchet MS" w:cs="Arial"/>
          <w:color w:val="333333"/>
          <w:sz w:val="18"/>
          <w:szCs w:val="18"/>
          <w:lang w:val="en"/>
        </w:rPr>
        <w:t xml:space="preserve"> CJ, et al.,</w:t>
      </w:r>
      <w:hyperlink r:id="rId20" w:history="1">
        <w:r w:rsidRPr="00276069">
          <w:rPr>
            <w:rFonts w:ascii="Trebuchet MS" w:eastAsia="Times New Roman" w:hAnsi="Trebuchet MS" w:cs="Arial"/>
            <w:color w:val="1765BC"/>
            <w:sz w:val="18"/>
            <w:szCs w:val="18"/>
            <w:lang w:val="en"/>
          </w:rPr>
          <w:t xml:space="preserve"> "National Health Spending Projections through 2020: Economic Recovery and Reform Drive Faster Spending Growth."</w:t>
        </w:r>
      </w:hyperlink>
      <w:r w:rsidRPr="00276069">
        <w:rPr>
          <w:rFonts w:ascii="Trebuchet MS" w:eastAsia="Times New Roman" w:hAnsi="Trebuchet MS" w:cs="Arial"/>
          <w:color w:val="333333"/>
          <w:sz w:val="18"/>
          <w:szCs w:val="18"/>
          <w:lang w:val="en"/>
        </w:rPr>
        <w:t xml:space="preserve"> </w:t>
      </w:r>
      <w:r w:rsidRPr="00276069">
        <w:rPr>
          <w:rFonts w:ascii="Trebuchet MS" w:eastAsia="Times New Roman" w:hAnsi="Trebuchet MS" w:cs="Arial"/>
          <w:i/>
          <w:iCs/>
          <w:color w:val="333333"/>
          <w:sz w:val="18"/>
          <w:szCs w:val="18"/>
          <w:lang w:val="en"/>
        </w:rPr>
        <w:t>Health Affairs</w:t>
      </w:r>
      <w:r w:rsidRPr="00276069">
        <w:rPr>
          <w:rFonts w:ascii="Trebuchet MS" w:eastAsia="Times New Roman" w:hAnsi="Trebuchet MS" w:cs="Arial"/>
          <w:color w:val="333333"/>
          <w:sz w:val="18"/>
          <w:szCs w:val="18"/>
          <w:lang w:val="en"/>
        </w:rPr>
        <w:t>, Aug</w:t>
      </w:r>
      <w:proofErr w:type="gramStart"/>
      <w:r w:rsidRPr="00276069">
        <w:rPr>
          <w:rFonts w:ascii="Trebuchet MS" w:eastAsia="Times New Roman" w:hAnsi="Trebuchet MS" w:cs="Arial"/>
          <w:color w:val="333333"/>
          <w:sz w:val="18"/>
          <w:szCs w:val="18"/>
          <w:lang w:val="en"/>
        </w:rPr>
        <w:t>;30</w:t>
      </w:r>
      <w:proofErr w:type="gramEnd"/>
      <w:r w:rsidRPr="00276069">
        <w:rPr>
          <w:rFonts w:ascii="Trebuchet MS" w:eastAsia="Times New Roman" w:hAnsi="Trebuchet MS" w:cs="Arial"/>
          <w:color w:val="333333"/>
          <w:sz w:val="18"/>
          <w:szCs w:val="18"/>
          <w:lang w:val="en"/>
        </w:rPr>
        <w:t>(8):1594–605.</w:t>
      </w:r>
    </w:p>
    <w:bookmarkStart w:id="20" w:name="note10"/>
    <w:p w:rsidR="00276069" w:rsidRPr="00276069" w:rsidRDefault="00276069" w:rsidP="00276069">
      <w:pPr>
        <w:shd w:val="clear" w:color="auto" w:fill="F2F2F2"/>
        <w:spacing w:before="30" w:after="30" w:line="360" w:lineRule="atLeast"/>
        <w:rPr>
          <w:rFonts w:ascii="Trebuchet MS" w:eastAsia="Times New Roman" w:hAnsi="Trebuchet MS" w:cs="Arial"/>
          <w:color w:val="333333"/>
          <w:sz w:val="18"/>
          <w:szCs w:val="18"/>
          <w:lang w:val="en"/>
        </w:rPr>
      </w:pPr>
      <w:r w:rsidRPr="00276069">
        <w:rPr>
          <w:rFonts w:ascii="Trebuchet MS" w:eastAsia="Times New Roman" w:hAnsi="Trebuchet MS" w:cs="Arial"/>
          <w:color w:val="333333"/>
          <w:sz w:val="18"/>
          <w:szCs w:val="18"/>
          <w:lang w:val="en"/>
        </w:rPr>
        <w:fldChar w:fldCharType="begin"/>
      </w:r>
      <w:r w:rsidRPr="00276069">
        <w:rPr>
          <w:rFonts w:ascii="Trebuchet MS" w:eastAsia="Times New Roman" w:hAnsi="Trebuchet MS" w:cs="Arial"/>
          <w:color w:val="333333"/>
          <w:sz w:val="18"/>
          <w:szCs w:val="18"/>
          <w:lang w:val="en"/>
        </w:rPr>
        <w:instrText xml:space="preserve"> HYPERLINK "http://mises.org/daily/6110/The-Right-to-National-Bankruptcy" \l "ref10" </w:instrText>
      </w:r>
      <w:r w:rsidRPr="00276069">
        <w:rPr>
          <w:rFonts w:ascii="Trebuchet MS" w:eastAsia="Times New Roman" w:hAnsi="Trebuchet MS" w:cs="Arial"/>
          <w:color w:val="333333"/>
          <w:sz w:val="18"/>
          <w:szCs w:val="18"/>
          <w:lang w:val="en"/>
        </w:rPr>
        <w:fldChar w:fldCharType="separate"/>
      </w:r>
      <w:r w:rsidRPr="00276069">
        <w:rPr>
          <w:rFonts w:ascii="Trebuchet MS" w:eastAsia="Times New Roman" w:hAnsi="Trebuchet MS" w:cs="Arial"/>
          <w:color w:val="1765BC"/>
          <w:sz w:val="18"/>
          <w:szCs w:val="18"/>
          <w:lang w:val="en"/>
        </w:rPr>
        <w:t>[10]</w:t>
      </w:r>
      <w:r w:rsidRPr="00276069">
        <w:rPr>
          <w:rFonts w:ascii="Trebuchet MS" w:eastAsia="Times New Roman" w:hAnsi="Trebuchet MS" w:cs="Arial"/>
          <w:color w:val="333333"/>
          <w:sz w:val="18"/>
          <w:szCs w:val="18"/>
          <w:lang w:val="en"/>
        </w:rPr>
        <w:fldChar w:fldCharType="end"/>
      </w:r>
      <w:bookmarkEnd w:id="20"/>
      <w:r w:rsidRPr="00276069">
        <w:rPr>
          <w:rFonts w:ascii="Trebuchet MS" w:eastAsia="Times New Roman" w:hAnsi="Trebuchet MS" w:cs="Arial"/>
          <w:color w:val="333333"/>
          <w:sz w:val="18"/>
          <w:szCs w:val="18"/>
          <w:lang w:val="en"/>
        </w:rPr>
        <w:t xml:space="preserve"> Ibid.</w:t>
      </w:r>
    </w:p>
    <w:p w:rsidR="00D65A5A" w:rsidRDefault="00276069">
      <w:r>
        <w:t xml:space="preserve"> </w:t>
      </w:r>
    </w:p>
    <w:sectPr w:rsidR="00D65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69"/>
    <w:rsid w:val="00276069"/>
    <w:rsid w:val="00D6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a9">
    <w:name w:val="meta9"/>
    <w:basedOn w:val="Normal"/>
    <w:rsid w:val="00276069"/>
    <w:pPr>
      <w:spacing w:before="150" w:after="300" w:line="360" w:lineRule="atLeast"/>
    </w:pPr>
    <w:rPr>
      <w:rFonts w:ascii="Trebuchet MS" w:eastAsia="Times New Roman" w:hAnsi="Trebuchet MS" w:cs="Times New Roman"/>
      <w:color w:val="7E7E7E"/>
      <w:sz w:val="18"/>
      <w:szCs w:val="18"/>
    </w:rPr>
  </w:style>
  <w:style w:type="character" w:customStyle="1" w:styleId="line-through1">
    <w:name w:val="line-through1"/>
    <w:basedOn w:val="DefaultParagraphFont"/>
    <w:rsid w:val="00276069"/>
    <w:rPr>
      <w:strike/>
    </w:rPr>
  </w:style>
  <w:style w:type="paragraph" w:styleId="BalloonText">
    <w:name w:val="Balloon Text"/>
    <w:basedOn w:val="Normal"/>
    <w:link w:val="BalloonTextChar"/>
    <w:uiPriority w:val="99"/>
    <w:semiHidden/>
    <w:unhideWhenUsed/>
    <w:rsid w:val="00276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0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a9">
    <w:name w:val="meta9"/>
    <w:basedOn w:val="Normal"/>
    <w:rsid w:val="00276069"/>
    <w:pPr>
      <w:spacing w:before="150" w:after="300" w:line="360" w:lineRule="atLeast"/>
    </w:pPr>
    <w:rPr>
      <w:rFonts w:ascii="Trebuchet MS" w:eastAsia="Times New Roman" w:hAnsi="Trebuchet MS" w:cs="Times New Roman"/>
      <w:color w:val="7E7E7E"/>
      <w:sz w:val="18"/>
      <w:szCs w:val="18"/>
    </w:rPr>
  </w:style>
  <w:style w:type="character" w:customStyle="1" w:styleId="line-through1">
    <w:name w:val="line-through1"/>
    <w:basedOn w:val="DefaultParagraphFont"/>
    <w:rsid w:val="00276069"/>
    <w:rPr>
      <w:strike/>
    </w:rPr>
  </w:style>
  <w:style w:type="paragraph" w:styleId="BalloonText">
    <w:name w:val="Balloon Text"/>
    <w:basedOn w:val="Normal"/>
    <w:link w:val="BalloonTextChar"/>
    <w:uiPriority w:val="99"/>
    <w:semiHidden/>
    <w:unhideWhenUsed/>
    <w:rsid w:val="00276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51858">
      <w:bodyDiv w:val="1"/>
      <w:marLeft w:val="0"/>
      <w:marRight w:val="0"/>
      <w:marTop w:val="0"/>
      <w:marBottom w:val="0"/>
      <w:divBdr>
        <w:top w:val="none" w:sz="0" w:space="0" w:color="auto"/>
        <w:left w:val="none" w:sz="0" w:space="0" w:color="auto"/>
        <w:bottom w:val="none" w:sz="0" w:space="0" w:color="auto"/>
        <w:right w:val="none" w:sz="0" w:space="0" w:color="auto"/>
      </w:divBdr>
      <w:divsChild>
        <w:div w:id="2076856457">
          <w:marLeft w:val="0"/>
          <w:marRight w:val="0"/>
          <w:marTop w:val="0"/>
          <w:marBottom w:val="0"/>
          <w:divBdr>
            <w:top w:val="none" w:sz="0" w:space="0" w:color="auto"/>
            <w:left w:val="none" w:sz="0" w:space="0" w:color="auto"/>
            <w:bottom w:val="none" w:sz="0" w:space="0" w:color="auto"/>
            <w:right w:val="none" w:sz="0" w:space="0" w:color="auto"/>
          </w:divBdr>
        </w:div>
      </w:divsChild>
    </w:div>
    <w:div w:id="1831823693">
      <w:bodyDiv w:val="1"/>
      <w:marLeft w:val="0"/>
      <w:marRight w:val="0"/>
      <w:marTop w:val="0"/>
      <w:marBottom w:val="0"/>
      <w:divBdr>
        <w:top w:val="none" w:sz="0" w:space="0" w:color="auto"/>
        <w:left w:val="none" w:sz="0" w:space="0" w:color="auto"/>
        <w:bottom w:val="none" w:sz="0" w:space="0" w:color="auto"/>
        <w:right w:val="none" w:sz="0" w:space="0" w:color="auto"/>
      </w:divBdr>
      <w:divsChild>
        <w:div w:id="1374690322">
          <w:marLeft w:val="0"/>
          <w:marRight w:val="0"/>
          <w:marTop w:val="0"/>
          <w:marBottom w:val="0"/>
          <w:divBdr>
            <w:top w:val="none" w:sz="0" w:space="0" w:color="auto"/>
            <w:left w:val="none" w:sz="0" w:space="0" w:color="auto"/>
            <w:bottom w:val="none" w:sz="0" w:space="0" w:color="auto"/>
            <w:right w:val="none" w:sz="0" w:space="0" w:color="auto"/>
          </w:divBdr>
          <w:divsChild>
            <w:div w:id="474375778">
              <w:marLeft w:val="0"/>
              <w:marRight w:val="0"/>
              <w:marTop w:val="0"/>
              <w:marBottom w:val="0"/>
              <w:divBdr>
                <w:top w:val="none" w:sz="0" w:space="0" w:color="auto"/>
                <w:left w:val="none" w:sz="0" w:space="0" w:color="auto"/>
                <w:bottom w:val="none" w:sz="0" w:space="0" w:color="auto"/>
                <w:right w:val="none" w:sz="0" w:space="0" w:color="auto"/>
              </w:divBdr>
              <w:divsChild>
                <w:div w:id="1611888315">
                  <w:marLeft w:val="0"/>
                  <w:marRight w:val="0"/>
                  <w:marTop w:val="0"/>
                  <w:marBottom w:val="0"/>
                  <w:divBdr>
                    <w:top w:val="none" w:sz="0" w:space="0" w:color="auto"/>
                    <w:left w:val="none" w:sz="0" w:space="0" w:color="auto"/>
                    <w:bottom w:val="none" w:sz="0" w:space="0" w:color="auto"/>
                    <w:right w:val="none" w:sz="0" w:space="0" w:color="auto"/>
                  </w:divBdr>
                  <w:divsChild>
                    <w:div w:id="642126475">
                      <w:marLeft w:val="0"/>
                      <w:marRight w:val="0"/>
                      <w:marTop w:val="0"/>
                      <w:marBottom w:val="0"/>
                      <w:divBdr>
                        <w:top w:val="none" w:sz="0" w:space="0" w:color="auto"/>
                        <w:left w:val="none" w:sz="0" w:space="0" w:color="auto"/>
                        <w:bottom w:val="none" w:sz="0" w:space="0" w:color="auto"/>
                        <w:right w:val="none" w:sz="0" w:space="0" w:color="auto"/>
                      </w:divBdr>
                      <w:divsChild>
                        <w:div w:id="583756718">
                          <w:blockQuote w:val="1"/>
                          <w:marLeft w:val="0"/>
                          <w:marRight w:val="0"/>
                          <w:marTop w:val="300"/>
                          <w:marBottom w:val="300"/>
                          <w:divBdr>
                            <w:top w:val="none" w:sz="0" w:space="0" w:color="auto"/>
                            <w:left w:val="single" w:sz="12" w:space="24" w:color="EEEEEE"/>
                            <w:bottom w:val="none" w:sz="0" w:space="0" w:color="auto"/>
                            <w:right w:val="none" w:sz="0" w:space="0" w:color="auto"/>
                          </w:divBdr>
                        </w:div>
                        <w:div w:id="940843897">
                          <w:marLeft w:val="0"/>
                          <w:marRight w:val="0"/>
                          <w:marTop w:val="0"/>
                          <w:marBottom w:val="480"/>
                          <w:divBdr>
                            <w:top w:val="none" w:sz="0" w:space="0" w:color="auto"/>
                            <w:left w:val="none" w:sz="0" w:space="0" w:color="auto"/>
                            <w:bottom w:val="none" w:sz="0" w:space="0" w:color="auto"/>
                            <w:right w:val="none" w:sz="0" w:space="0" w:color="auto"/>
                          </w:divBdr>
                          <w:divsChild>
                            <w:div w:id="710958798">
                              <w:marLeft w:val="0"/>
                              <w:marRight w:val="0"/>
                              <w:marTop w:val="45"/>
                              <w:marBottom w:val="45"/>
                              <w:divBdr>
                                <w:top w:val="none" w:sz="0" w:space="0" w:color="auto"/>
                                <w:left w:val="none" w:sz="0" w:space="0" w:color="auto"/>
                                <w:bottom w:val="none" w:sz="0" w:space="0" w:color="auto"/>
                                <w:right w:val="none" w:sz="0" w:space="0" w:color="auto"/>
                              </w:divBdr>
                            </w:div>
                          </w:divsChild>
                        </w:div>
                        <w:div w:id="1744990732">
                          <w:blockQuote w:val="1"/>
                          <w:marLeft w:val="0"/>
                          <w:marRight w:val="0"/>
                          <w:marTop w:val="300"/>
                          <w:marBottom w:val="300"/>
                          <w:divBdr>
                            <w:top w:val="none" w:sz="0" w:space="0" w:color="auto"/>
                            <w:left w:val="single" w:sz="12" w:space="24" w:color="EEEEEE"/>
                            <w:bottom w:val="none" w:sz="0" w:space="0" w:color="auto"/>
                            <w:right w:val="none" w:sz="0" w:space="0" w:color="auto"/>
                          </w:divBdr>
                        </w:div>
                        <w:div w:id="1816675613">
                          <w:marLeft w:val="0"/>
                          <w:marRight w:val="0"/>
                          <w:marTop w:val="0"/>
                          <w:marBottom w:val="480"/>
                          <w:divBdr>
                            <w:top w:val="none" w:sz="0" w:space="0" w:color="auto"/>
                            <w:left w:val="none" w:sz="0" w:space="0" w:color="auto"/>
                            <w:bottom w:val="none" w:sz="0" w:space="0" w:color="auto"/>
                            <w:right w:val="none" w:sz="0" w:space="0" w:color="auto"/>
                          </w:divBdr>
                          <w:divsChild>
                            <w:div w:id="1374771342">
                              <w:marLeft w:val="0"/>
                              <w:marRight w:val="0"/>
                              <w:marTop w:val="45"/>
                              <w:marBottom w:val="45"/>
                              <w:divBdr>
                                <w:top w:val="none" w:sz="0" w:space="0" w:color="auto"/>
                                <w:left w:val="none" w:sz="0" w:space="0" w:color="auto"/>
                                <w:bottom w:val="none" w:sz="0" w:space="0" w:color="auto"/>
                                <w:right w:val="none" w:sz="0" w:space="0" w:color="auto"/>
                              </w:divBdr>
                            </w:div>
                          </w:divsChild>
                        </w:div>
                        <w:div w:id="183401651">
                          <w:marLeft w:val="0"/>
                          <w:marRight w:val="0"/>
                          <w:marTop w:val="0"/>
                          <w:marBottom w:val="480"/>
                          <w:divBdr>
                            <w:top w:val="none" w:sz="0" w:space="0" w:color="auto"/>
                            <w:left w:val="none" w:sz="0" w:space="0" w:color="auto"/>
                            <w:bottom w:val="none" w:sz="0" w:space="0" w:color="auto"/>
                            <w:right w:val="none" w:sz="0" w:space="0" w:color="auto"/>
                          </w:divBdr>
                          <w:divsChild>
                            <w:div w:id="271013417">
                              <w:marLeft w:val="0"/>
                              <w:marRight w:val="0"/>
                              <w:marTop w:val="45"/>
                              <w:marBottom w:val="45"/>
                              <w:divBdr>
                                <w:top w:val="none" w:sz="0" w:space="0" w:color="auto"/>
                                <w:left w:val="none" w:sz="0" w:space="0" w:color="auto"/>
                                <w:bottom w:val="none" w:sz="0" w:space="0" w:color="auto"/>
                                <w:right w:val="none" w:sz="0" w:space="0" w:color="auto"/>
                              </w:divBdr>
                            </w:div>
                          </w:divsChild>
                        </w:div>
                        <w:div w:id="190997247">
                          <w:blockQuote w:val="1"/>
                          <w:marLeft w:val="0"/>
                          <w:marRight w:val="0"/>
                          <w:marTop w:val="300"/>
                          <w:marBottom w:val="300"/>
                          <w:divBdr>
                            <w:top w:val="none" w:sz="0" w:space="0" w:color="auto"/>
                            <w:left w:val="single" w:sz="12" w:space="24" w:color="EEEEEE"/>
                            <w:bottom w:val="none" w:sz="0" w:space="0" w:color="auto"/>
                            <w:right w:val="none" w:sz="0" w:space="0" w:color="auto"/>
                          </w:divBdr>
                        </w:div>
                        <w:div w:id="984237862">
                          <w:marLeft w:val="0"/>
                          <w:marRight w:val="0"/>
                          <w:marTop w:val="0"/>
                          <w:marBottom w:val="480"/>
                          <w:divBdr>
                            <w:top w:val="none" w:sz="0" w:space="0" w:color="auto"/>
                            <w:left w:val="none" w:sz="0" w:space="0" w:color="auto"/>
                            <w:bottom w:val="none" w:sz="0" w:space="0" w:color="auto"/>
                            <w:right w:val="none" w:sz="0" w:space="0" w:color="auto"/>
                          </w:divBdr>
                          <w:divsChild>
                            <w:div w:id="1847596555">
                              <w:marLeft w:val="0"/>
                              <w:marRight w:val="0"/>
                              <w:marTop w:val="45"/>
                              <w:marBottom w:val="45"/>
                              <w:divBdr>
                                <w:top w:val="none" w:sz="0" w:space="0" w:color="auto"/>
                                <w:left w:val="none" w:sz="0" w:space="0" w:color="auto"/>
                                <w:bottom w:val="none" w:sz="0" w:space="0" w:color="auto"/>
                                <w:right w:val="none" w:sz="0" w:space="0" w:color="auto"/>
                              </w:divBdr>
                            </w:div>
                          </w:divsChild>
                        </w:div>
                        <w:div w:id="544757421">
                          <w:marLeft w:val="0"/>
                          <w:marRight w:val="0"/>
                          <w:marTop w:val="0"/>
                          <w:marBottom w:val="0"/>
                          <w:divBdr>
                            <w:top w:val="single" w:sz="6" w:space="18" w:color="CCCCCC"/>
                            <w:left w:val="none" w:sz="0" w:space="0" w:color="auto"/>
                            <w:bottom w:val="none" w:sz="0" w:space="0" w:color="auto"/>
                            <w:right w:val="none" w:sz="0" w:space="0" w:color="auto"/>
                          </w:divBdr>
                        </w:div>
                        <w:div w:id="156009327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es.org/daily/6014/Hospital-of-Cards" TargetMode="External"/><Relationship Id="rId13" Type="http://schemas.openxmlformats.org/officeDocument/2006/relationships/hyperlink" Target="http://mises.org/store/Product.aspx?ProductId=472" TargetMode="External"/><Relationship Id="rId18" Type="http://schemas.openxmlformats.org/officeDocument/2006/relationships/hyperlink" Target="http://mises.org/Feeds/articles.ashx?AuthorId=162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mises.org/daily/author/1623/Andrew-Foy-MD" TargetMode="External"/><Relationship Id="rId2" Type="http://schemas.microsoft.com/office/2007/relationships/stylesWithEffects" Target="stylesWithEffects.xml"/><Relationship Id="rId16" Type="http://schemas.openxmlformats.org/officeDocument/2006/relationships/hyperlink" Target="mailto:Andrew.Foy@gmail.com" TargetMode="External"/><Relationship Id="rId20" Type="http://schemas.openxmlformats.org/officeDocument/2006/relationships/hyperlink" Target="http://content.healthaffairs.org/content/early/2011/07/27/hlthaff.2011.0662.abstract" TargetMode="External"/><Relationship Id="rId1" Type="http://schemas.openxmlformats.org/officeDocument/2006/relationships/styles" Target="styles.xml"/><Relationship Id="rId6" Type="http://schemas.openxmlformats.org/officeDocument/2006/relationships/hyperlink" Target="http://books.google.com/books?id=SrAJFwL1j0YC&amp;printsec=find&amp;pg=PR7=" TargetMode="External"/><Relationship Id="rId11" Type="http://schemas.openxmlformats.org/officeDocument/2006/relationships/hyperlink" Target="http://mises.org/store/Product.aspx?ProductId=472" TargetMode="External"/><Relationship Id="rId5" Type="http://schemas.openxmlformats.org/officeDocument/2006/relationships/hyperlink" Target="http://mises.org/daily/author/1623/Andrew-Foy-MD" TargetMode="External"/><Relationship Id="rId15" Type="http://schemas.openxmlformats.org/officeDocument/2006/relationships/hyperlink" Target="javascript:$('" TargetMode="External"/><Relationship Id="rId10" Type="http://schemas.openxmlformats.org/officeDocument/2006/relationships/image" Target="media/image3.png"/><Relationship Id="rId19" Type="http://schemas.openxmlformats.org/officeDocument/2006/relationships/hyperlink" Target="http://www.nber.org/papers/w1160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Snyder</dc:creator>
  <cp:lastModifiedBy>Michael Snyder</cp:lastModifiedBy>
  <cp:revision>1</cp:revision>
  <dcterms:created xsi:type="dcterms:W3CDTF">2012-07-18T16:44:00Z</dcterms:created>
  <dcterms:modified xsi:type="dcterms:W3CDTF">2012-07-18T16:45:00Z</dcterms:modified>
</cp:coreProperties>
</file>